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CE93C2A" w14:textId="77777777" w:rsidTr="00AD6D80">
        <w:tc>
          <w:tcPr>
            <w:tcW w:w="8525" w:type="dxa"/>
            <w:gridSpan w:val="3"/>
            <w:tcBorders>
              <w:bottom w:val="single" w:sz="18" w:space="0" w:color="auto"/>
            </w:tcBorders>
          </w:tcPr>
          <w:p w14:paraId="60EF2DAE" w14:textId="3D37DB5C" w:rsidR="00C119A2" w:rsidRPr="00A80DBC" w:rsidRDefault="000E2CE0" w:rsidP="00AD6D80">
            <w:pPr>
              <w:pStyle w:val="Infotext"/>
              <w:rPr>
                <w:rFonts w:ascii="Arial Black" w:hAnsi="Arial Black"/>
                <w:color w:val="0070C0"/>
                <w:sz w:val="48"/>
                <w:szCs w:val="48"/>
              </w:rPr>
            </w:pPr>
            <w:r>
              <w:rPr>
                <w:rFonts w:ascii="Arial Black" w:hAnsi="Arial Black"/>
                <w:color w:val="999999"/>
                <w:sz w:val="36"/>
                <w:szCs w:val="36"/>
              </w:rPr>
              <w:t xml:space="preserve"> </w:t>
            </w:r>
          </w:p>
          <w:p w14:paraId="52B84E37" w14:textId="6FB2ED7B" w:rsidR="00C119A2" w:rsidRDefault="00455F65"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125CBB9" wp14:editId="5A9DB844">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39D844D" w14:textId="77777777" w:rsidR="00C119A2" w:rsidRDefault="00C119A2" w:rsidP="00AD6D80">
            <w:pPr>
              <w:pStyle w:val="Infotext"/>
              <w:rPr>
                <w:rFonts w:ascii="Arial Black" w:hAnsi="Arial Black" w:cs="Arial"/>
                <w:sz w:val="36"/>
                <w:szCs w:val="36"/>
              </w:rPr>
            </w:pPr>
          </w:p>
        </w:tc>
      </w:tr>
      <w:tr w:rsidR="00333FAA" w14:paraId="11D89019" w14:textId="77777777">
        <w:trPr>
          <w:gridAfter w:val="1"/>
          <w:wAfter w:w="15" w:type="dxa"/>
        </w:trPr>
        <w:tc>
          <w:tcPr>
            <w:tcW w:w="3456" w:type="dxa"/>
            <w:tcBorders>
              <w:bottom w:val="single" w:sz="18" w:space="0" w:color="auto"/>
            </w:tcBorders>
          </w:tcPr>
          <w:p w14:paraId="2AB5E7F5"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1F906D89"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2C6D7D9" w14:textId="0B7DCF51"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r w:rsidR="00E3420A">
              <w:rPr>
                <w:rFonts w:ascii="Arial Black" w:hAnsi="Arial Black" w:cs="Arial"/>
                <w:sz w:val="36"/>
                <w:szCs w:val="36"/>
              </w:rPr>
              <w:t xml:space="preserve"> </w:t>
            </w:r>
          </w:p>
          <w:p w14:paraId="2153405A" w14:textId="77777777" w:rsidR="00333FAA" w:rsidRPr="005E3A10" w:rsidRDefault="00333FAA" w:rsidP="00A53B04">
            <w:pPr>
              <w:rPr>
                <w:rFonts w:ascii="Arial Black" w:hAnsi="Arial Black" w:cs="Arial"/>
                <w:szCs w:val="24"/>
              </w:rPr>
            </w:pPr>
          </w:p>
        </w:tc>
      </w:tr>
      <w:tr w:rsidR="00333FAA" w14:paraId="7ED4280F" w14:textId="77777777">
        <w:trPr>
          <w:gridAfter w:val="1"/>
          <w:wAfter w:w="15" w:type="dxa"/>
        </w:trPr>
        <w:tc>
          <w:tcPr>
            <w:tcW w:w="3456" w:type="dxa"/>
            <w:tcBorders>
              <w:top w:val="single" w:sz="18" w:space="0" w:color="auto"/>
            </w:tcBorders>
          </w:tcPr>
          <w:p w14:paraId="3C1CB991"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507C924"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06BC3F47" w14:textId="0BB43B09" w:rsidR="00333FAA" w:rsidRPr="005E3A10" w:rsidRDefault="00F618FE" w:rsidP="00A53B04">
            <w:pPr>
              <w:rPr>
                <w:rFonts w:cs="Arial"/>
                <w:szCs w:val="24"/>
              </w:rPr>
            </w:pPr>
            <w:r>
              <w:rPr>
                <w:rFonts w:cs="Arial"/>
                <w:szCs w:val="24"/>
              </w:rPr>
              <w:t>9 January 2020</w:t>
            </w:r>
          </w:p>
        </w:tc>
      </w:tr>
      <w:tr w:rsidR="00333FAA" w14:paraId="15C39F42" w14:textId="77777777">
        <w:trPr>
          <w:gridAfter w:val="1"/>
          <w:wAfter w:w="15" w:type="dxa"/>
        </w:trPr>
        <w:tc>
          <w:tcPr>
            <w:tcW w:w="3456" w:type="dxa"/>
          </w:tcPr>
          <w:p w14:paraId="2C11BA2A"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F1FBAB2" w14:textId="77777777" w:rsidR="00333FAA" w:rsidRPr="00C13A5F" w:rsidRDefault="00333FAA" w:rsidP="00A53B04">
            <w:pPr>
              <w:pStyle w:val="Infotext"/>
              <w:rPr>
                <w:rFonts w:ascii="Arial Black" w:hAnsi="Arial Black"/>
              </w:rPr>
            </w:pPr>
          </w:p>
        </w:tc>
        <w:tc>
          <w:tcPr>
            <w:tcW w:w="5054" w:type="dxa"/>
          </w:tcPr>
          <w:p w14:paraId="3F4A058C" w14:textId="4E5ECEEC" w:rsidR="00333FAA" w:rsidRPr="005E3A10" w:rsidRDefault="00785629" w:rsidP="00A53B04">
            <w:pPr>
              <w:rPr>
                <w:rFonts w:cs="Arial"/>
                <w:szCs w:val="24"/>
              </w:rPr>
            </w:pPr>
            <w:bookmarkStart w:id="0" w:name="_GoBack"/>
            <w:r w:rsidRPr="00785629">
              <w:rPr>
                <w:rFonts w:cs="Arial"/>
                <w:szCs w:val="24"/>
              </w:rPr>
              <w:t>Strategic Performance Report – Quarter</w:t>
            </w:r>
            <w:r w:rsidR="00F618FE">
              <w:rPr>
                <w:rFonts w:cs="Arial"/>
                <w:szCs w:val="24"/>
              </w:rPr>
              <w:t xml:space="preserve"> 2</w:t>
            </w:r>
            <w:r>
              <w:rPr>
                <w:rFonts w:cs="Arial"/>
                <w:szCs w:val="24"/>
              </w:rPr>
              <w:t>, 2019/20</w:t>
            </w:r>
            <w:bookmarkEnd w:id="0"/>
          </w:p>
        </w:tc>
      </w:tr>
      <w:tr w:rsidR="00333FAA" w14:paraId="4E371F96" w14:textId="77777777">
        <w:trPr>
          <w:gridAfter w:val="1"/>
          <w:wAfter w:w="15" w:type="dxa"/>
        </w:trPr>
        <w:tc>
          <w:tcPr>
            <w:tcW w:w="3456" w:type="dxa"/>
          </w:tcPr>
          <w:p w14:paraId="0CC160D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1AC3AD1" w14:textId="77777777" w:rsidR="00333FAA" w:rsidRPr="00C13A5F" w:rsidRDefault="00333FAA" w:rsidP="00A53B04">
            <w:pPr>
              <w:pStyle w:val="Infotext"/>
              <w:rPr>
                <w:rFonts w:ascii="Arial Black" w:hAnsi="Arial Black" w:cs="Arial"/>
              </w:rPr>
            </w:pPr>
          </w:p>
        </w:tc>
        <w:tc>
          <w:tcPr>
            <w:tcW w:w="5054" w:type="dxa"/>
          </w:tcPr>
          <w:p w14:paraId="3EA15498" w14:textId="37F53213" w:rsidR="00333FAA" w:rsidRPr="005E3A10" w:rsidRDefault="00785629" w:rsidP="00785629">
            <w:pPr>
              <w:pStyle w:val="Infotext"/>
              <w:rPr>
                <w:rFonts w:cs="Arial"/>
                <w:szCs w:val="24"/>
              </w:rPr>
            </w:pPr>
            <w:r>
              <w:rPr>
                <w:rFonts w:cs="Arial"/>
                <w:sz w:val="24"/>
                <w:szCs w:val="24"/>
              </w:rPr>
              <w:t xml:space="preserve">No </w:t>
            </w:r>
          </w:p>
        </w:tc>
      </w:tr>
      <w:tr w:rsidR="001C7E35" w14:paraId="1FAC1398" w14:textId="77777777">
        <w:trPr>
          <w:gridAfter w:val="1"/>
          <w:wAfter w:w="15" w:type="dxa"/>
        </w:trPr>
        <w:tc>
          <w:tcPr>
            <w:tcW w:w="3456" w:type="dxa"/>
          </w:tcPr>
          <w:p w14:paraId="33C3AB90"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749986A1" w14:textId="77777777" w:rsidR="001C7E35" w:rsidRPr="00C13A5F" w:rsidRDefault="001C7E35" w:rsidP="00A53B04">
            <w:pPr>
              <w:pStyle w:val="Infotext"/>
              <w:rPr>
                <w:rFonts w:ascii="Arial Black" w:hAnsi="Arial Black" w:cs="Arial"/>
              </w:rPr>
            </w:pPr>
          </w:p>
        </w:tc>
        <w:tc>
          <w:tcPr>
            <w:tcW w:w="5054" w:type="dxa"/>
          </w:tcPr>
          <w:p w14:paraId="40CECE17" w14:textId="02FDACCD" w:rsidR="001C7E35" w:rsidRPr="005E3A10" w:rsidRDefault="00785629" w:rsidP="00D835CF">
            <w:pPr>
              <w:pStyle w:val="Infotext"/>
              <w:rPr>
                <w:rFonts w:cs="Arial"/>
                <w:sz w:val="24"/>
                <w:szCs w:val="24"/>
              </w:rPr>
            </w:pPr>
            <w:r>
              <w:rPr>
                <w:rFonts w:cs="Arial"/>
                <w:sz w:val="24"/>
                <w:szCs w:val="24"/>
              </w:rPr>
              <w:t>Sean Harriss, Chief Executive</w:t>
            </w:r>
          </w:p>
          <w:p w14:paraId="58C52F15" w14:textId="77777777" w:rsidR="001C7E35" w:rsidRPr="005E3A10" w:rsidRDefault="001C7E35" w:rsidP="00D835CF">
            <w:pPr>
              <w:pStyle w:val="Infotext"/>
              <w:rPr>
                <w:rFonts w:cs="Arial"/>
                <w:sz w:val="24"/>
                <w:szCs w:val="24"/>
              </w:rPr>
            </w:pPr>
          </w:p>
        </w:tc>
      </w:tr>
      <w:tr w:rsidR="001C7E35" w14:paraId="50C719B2" w14:textId="77777777">
        <w:trPr>
          <w:gridAfter w:val="1"/>
          <w:wAfter w:w="15" w:type="dxa"/>
        </w:trPr>
        <w:tc>
          <w:tcPr>
            <w:tcW w:w="3456" w:type="dxa"/>
          </w:tcPr>
          <w:p w14:paraId="27787554"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339D974" w14:textId="77777777" w:rsidR="001C7E35" w:rsidRPr="00C13A5F" w:rsidRDefault="001C7E35" w:rsidP="00A53B04">
            <w:pPr>
              <w:pStyle w:val="BodyText"/>
              <w:rPr>
                <w:rFonts w:ascii="Arial Black" w:hAnsi="Arial Black"/>
              </w:rPr>
            </w:pPr>
          </w:p>
        </w:tc>
        <w:tc>
          <w:tcPr>
            <w:tcW w:w="5054" w:type="dxa"/>
          </w:tcPr>
          <w:p w14:paraId="65AA4933" w14:textId="5F816329" w:rsidR="001C7E35" w:rsidRPr="00785629" w:rsidRDefault="00785629" w:rsidP="00785629">
            <w:pPr>
              <w:pStyle w:val="Infotext"/>
              <w:rPr>
                <w:rFonts w:cs="Arial"/>
                <w:sz w:val="24"/>
                <w:szCs w:val="24"/>
              </w:rPr>
            </w:pPr>
            <w:r w:rsidRPr="00785629">
              <w:rPr>
                <w:rFonts w:cs="Arial"/>
                <w:sz w:val="24"/>
                <w:szCs w:val="24"/>
              </w:rPr>
              <w:t xml:space="preserve">Councillor Adam Swersky, Portfolio Holder for Finance and Resources </w:t>
            </w:r>
          </w:p>
        </w:tc>
      </w:tr>
      <w:tr w:rsidR="001C7E35" w14:paraId="7A28B039" w14:textId="77777777">
        <w:trPr>
          <w:gridAfter w:val="1"/>
          <w:wAfter w:w="15" w:type="dxa"/>
        </w:trPr>
        <w:tc>
          <w:tcPr>
            <w:tcW w:w="3456" w:type="dxa"/>
          </w:tcPr>
          <w:p w14:paraId="01319849" w14:textId="77777777" w:rsidR="001C7E35" w:rsidRPr="00DB6C3D" w:rsidRDefault="001C7E35" w:rsidP="00DB6C3D">
            <w:pPr>
              <w:pStyle w:val="Infotext"/>
              <w:rPr>
                <w:rFonts w:ascii="Arial Black" w:hAnsi="Arial Black"/>
              </w:rPr>
            </w:pPr>
            <w:r w:rsidRPr="00DB6C3D">
              <w:rPr>
                <w:rFonts w:ascii="Arial Black" w:hAnsi="Arial Black"/>
              </w:rPr>
              <w:t>Exempt:</w:t>
            </w:r>
          </w:p>
          <w:p w14:paraId="66ABDB18" w14:textId="77777777" w:rsidR="001C7E35" w:rsidRPr="00C13A5F" w:rsidRDefault="001C7E35" w:rsidP="00A53B04">
            <w:pPr>
              <w:pStyle w:val="BodyText"/>
              <w:rPr>
                <w:rFonts w:ascii="Arial Black" w:hAnsi="Arial Black"/>
              </w:rPr>
            </w:pPr>
          </w:p>
        </w:tc>
        <w:tc>
          <w:tcPr>
            <w:tcW w:w="5054" w:type="dxa"/>
          </w:tcPr>
          <w:p w14:paraId="1811B3BA" w14:textId="01537232" w:rsidR="001C7E35" w:rsidRPr="00785629" w:rsidRDefault="00785629" w:rsidP="00785629">
            <w:pPr>
              <w:pStyle w:val="Infotext"/>
              <w:rPr>
                <w:rFonts w:cs="Arial"/>
                <w:sz w:val="24"/>
                <w:szCs w:val="24"/>
              </w:rPr>
            </w:pPr>
            <w:r>
              <w:rPr>
                <w:rFonts w:cs="Arial"/>
                <w:sz w:val="24"/>
                <w:szCs w:val="24"/>
              </w:rPr>
              <w:t>No</w:t>
            </w:r>
          </w:p>
        </w:tc>
      </w:tr>
      <w:tr w:rsidR="001C7E35" w14:paraId="7F2E0122" w14:textId="77777777">
        <w:trPr>
          <w:gridAfter w:val="1"/>
          <w:wAfter w:w="15" w:type="dxa"/>
        </w:trPr>
        <w:tc>
          <w:tcPr>
            <w:tcW w:w="3456" w:type="dxa"/>
          </w:tcPr>
          <w:p w14:paraId="05FD69C1"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5CECBEE" w14:textId="77777777" w:rsidR="001C7E35" w:rsidRPr="00C13A5F" w:rsidRDefault="001C7E35" w:rsidP="00A53B04">
            <w:pPr>
              <w:pStyle w:val="BodyText"/>
              <w:rPr>
                <w:rFonts w:ascii="Arial Black" w:hAnsi="Arial Black"/>
              </w:rPr>
            </w:pPr>
          </w:p>
        </w:tc>
        <w:tc>
          <w:tcPr>
            <w:tcW w:w="5054" w:type="dxa"/>
          </w:tcPr>
          <w:p w14:paraId="3C78BE6C" w14:textId="6C43C2FF" w:rsidR="00714BEE" w:rsidRPr="00785629" w:rsidRDefault="001C7E35" w:rsidP="00785629">
            <w:pPr>
              <w:pStyle w:val="Infotext"/>
              <w:rPr>
                <w:rFonts w:cs="Arial"/>
                <w:sz w:val="24"/>
                <w:szCs w:val="24"/>
              </w:rPr>
            </w:pPr>
            <w:r w:rsidRPr="005E3A10">
              <w:rPr>
                <w:rFonts w:cs="Arial"/>
                <w:sz w:val="24"/>
                <w:szCs w:val="24"/>
              </w:rPr>
              <w:t xml:space="preserve">Yes </w:t>
            </w:r>
          </w:p>
        </w:tc>
      </w:tr>
      <w:tr w:rsidR="001C7E35" w14:paraId="65AF40FF" w14:textId="77777777">
        <w:trPr>
          <w:gridAfter w:val="1"/>
          <w:wAfter w:w="15" w:type="dxa"/>
        </w:trPr>
        <w:tc>
          <w:tcPr>
            <w:tcW w:w="3456" w:type="dxa"/>
          </w:tcPr>
          <w:p w14:paraId="22EE75A2" w14:textId="77777777" w:rsidR="001C7E35" w:rsidRDefault="001C7E35" w:rsidP="00A53B04">
            <w:pPr>
              <w:pStyle w:val="Infotext"/>
              <w:rPr>
                <w:rFonts w:ascii="Arial Black" w:hAnsi="Arial Black" w:cs="Arial"/>
              </w:rPr>
            </w:pPr>
            <w:r>
              <w:rPr>
                <w:rFonts w:ascii="Arial Black" w:hAnsi="Arial Black" w:cs="Arial"/>
              </w:rPr>
              <w:t>Wards affected:</w:t>
            </w:r>
          </w:p>
          <w:p w14:paraId="31237A21" w14:textId="77777777" w:rsidR="001C7E35" w:rsidRPr="00C13A5F" w:rsidRDefault="001C7E35" w:rsidP="00A53B04">
            <w:pPr>
              <w:pStyle w:val="Infotext"/>
              <w:rPr>
                <w:rFonts w:ascii="Arial Black" w:hAnsi="Arial Black" w:cs="Arial"/>
              </w:rPr>
            </w:pPr>
          </w:p>
        </w:tc>
        <w:tc>
          <w:tcPr>
            <w:tcW w:w="5054" w:type="dxa"/>
          </w:tcPr>
          <w:p w14:paraId="6002C793" w14:textId="3D52FD18" w:rsidR="00307F76" w:rsidRPr="00785629" w:rsidRDefault="00785629" w:rsidP="00785629">
            <w:pPr>
              <w:rPr>
                <w:rFonts w:cs="Arial"/>
                <w:b/>
                <w:szCs w:val="24"/>
              </w:rPr>
            </w:pPr>
            <w:r>
              <w:rPr>
                <w:rFonts w:cs="Arial"/>
                <w:szCs w:val="24"/>
              </w:rPr>
              <w:t>All Wards</w:t>
            </w:r>
          </w:p>
        </w:tc>
      </w:tr>
      <w:tr w:rsidR="001C7E35" w14:paraId="4BCFD77D" w14:textId="77777777">
        <w:trPr>
          <w:gridAfter w:val="1"/>
          <w:wAfter w:w="15" w:type="dxa"/>
        </w:trPr>
        <w:tc>
          <w:tcPr>
            <w:tcW w:w="3456" w:type="dxa"/>
          </w:tcPr>
          <w:p w14:paraId="0F5D5460"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0A7AA345" w14:textId="77777777" w:rsidR="001C7E35" w:rsidRPr="00C13A5F" w:rsidRDefault="001C7E35" w:rsidP="00A53B04">
            <w:pPr>
              <w:pStyle w:val="Infotext"/>
              <w:rPr>
                <w:rFonts w:ascii="Arial Black" w:hAnsi="Arial Black" w:cs="Arial"/>
              </w:rPr>
            </w:pPr>
          </w:p>
        </w:tc>
        <w:tc>
          <w:tcPr>
            <w:tcW w:w="5054" w:type="dxa"/>
          </w:tcPr>
          <w:p w14:paraId="41ED6887" w14:textId="5AF7E1DA" w:rsidR="001C7E35" w:rsidRPr="00785629" w:rsidRDefault="00785629" w:rsidP="00F618FE">
            <w:pPr>
              <w:pStyle w:val="Infotext"/>
              <w:rPr>
                <w:sz w:val="24"/>
                <w:szCs w:val="24"/>
              </w:rPr>
            </w:pPr>
            <w:r>
              <w:rPr>
                <w:rFonts w:cs="Arial"/>
                <w:sz w:val="24"/>
                <w:szCs w:val="24"/>
              </w:rPr>
              <w:t xml:space="preserve">Appendix </w:t>
            </w:r>
            <w:r w:rsidR="00F618FE">
              <w:rPr>
                <w:rFonts w:cs="Arial"/>
                <w:sz w:val="24"/>
                <w:szCs w:val="24"/>
              </w:rPr>
              <w:t>1</w:t>
            </w:r>
            <w:r>
              <w:rPr>
                <w:rFonts w:cs="Arial"/>
                <w:sz w:val="24"/>
                <w:szCs w:val="24"/>
              </w:rPr>
              <w:t xml:space="preserve"> – Strategic Performance Report </w:t>
            </w:r>
          </w:p>
        </w:tc>
      </w:tr>
    </w:tbl>
    <w:p w14:paraId="7F8AA515" w14:textId="77777777" w:rsidR="00333FAA" w:rsidRDefault="00333FAA" w:rsidP="00333FAA">
      <w:pPr>
        <w:rPr>
          <w:rFonts w:cs="Arial"/>
        </w:rPr>
      </w:pPr>
    </w:p>
    <w:p w14:paraId="04EC0C32" w14:textId="77777777" w:rsidR="004076C8" w:rsidRDefault="004076C8" w:rsidP="00333FAA">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33FAA" w14:paraId="482102DC" w14:textId="77777777" w:rsidTr="00A336B9">
        <w:tc>
          <w:tcPr>
            <w:tcW w:w="8613" w:type="dxa"/>
            <w:tcBorders>
              <w:top w:val="nil"/>
              <w:left w:val="nil"/>
              <w:right w:val="nil"/>
            </w:tcBorders>
          </w:tcPr>
          <w:p w14:paraId="6E9C8D7D" w14:textId="77777777" w:rsidR="00333FAA" w:rsidRDefault="00333FAA" w:rsidP="00A53B04">
            <w:pPr>
              <w:pStyle w:val="Heading1"/>
            </w:pPr>
            <w:r>
              <w:t>Section 1 – Summary and Recommendations</w:t>
            </w:r>
          </w:p>
          <w:p w14:paraId="06ECDE83" w14:textId="77777777" w:rsidR="00333FAA" w:rsidRDefault="00333FAA" w:rsidP="00A53B04"/>
        </w:tc>
      </w:tr>
      <w:tr w:rsidR="00333FAA" w14:paraId="2B36AA84" w14:textId="77777777" w:rsidTr="00A336B9">
        <w:tc>
          <w:tcPr>
            <w:tcW w:w="8613" w:type="dxa"/>
          </w:tcPr>
          <w:p w14:paraId="35777F66" w14:textId="606293AA" w:rsidR="00333FAA" w:rsidRDefault="00333FAA" w:rsidP="00A53B04"/>
          <w:p w14:paraId="14FB0006" w14:textId="04EA23B9" w:rsidR="001C7E35" w:rsidRPr="00785629" w:rsidRDefault="00F618FE" w:rsidP="001C7E35">
            <w:pPr>
              <w:pStyle w:val="Heading2"/>
              <w:rPr>
                <w:rFonts w:cs="Times New Roman"/>
                <w:b w:val="0"/>
                <w:bCs w:val="0"/>
                <w:sz w:val="24"/>
                <w:szCs w:val="20"/>
              </w:rPr>
            </w:pPr>
            <w:r w:rsidRPr="00F618FE">
              <w:rPr>
                <w:rFonts w:cs="Times New Roman"/>
                <w:b w:val="0"/>
                <w:bCs w:val="0"/>
                <w:sz w:val="24"/>
                <w:szCs w:val="20"/>
              </w:rPr>
              <w:t>This report summarises Council and s</w:t>
            </w:r>
            <w:r>
              <w:rPr>
                <w:rFonts w:cs="Times New Roman"/>
                <w:b w:val="0"/>
                <w:bCs w:val="0"/>
                <w:sz w:val="24"/>
                <w:szCs w:val="20"/>
              </w:rPr>
              <w:t>ervice performance for Quarter 2</w:t>
            </w:r>
            <w:r w:rsidRPr="00F618FE">
              <w:rPr>
                <w:rFonts w:cs="Times New Roman"/>
                <w:b w:val="0"/>
                <w:bCs w:val="0"/>
                <w:sz w:val="24"/>
                <w:szCs w:val="20"/>
              </w:rPr>
              <w:t xml:space="preserve"> against key measures and draws attention to areas requiring action.</w:t>
            </w:r>
          </w:p>
          <w:p w14:paraId="1346875F" w14:textId="77777777" w:rsidR="00785629" w:rsidRPr="00785629" w:rsidRDefault="00785629" w:rsidP="00785629"/>
          <w:p w14:paraId="7C3C9CF3" w14:textId="77777777" w:rsidR="001C7E35" w:rsidRDefault="001C7E35" w:rsidP="001C7E35">
            <w:pPr>
              <w:pStyle w:val="Heading2"/>
            </w:pPr>
            <w:r>
              <w:t xml:space="preserve">Recommendations: </w:t>
            </w:r>
          </w:p>
          <w:p w14:paraId="6E5B56C5" w14:textId="77777777" w:rsidR="00F618FE" w:rsidRDefault="00F618FE" w:rsidP="00F618FE">
            <w:r>
              <w:t>That</w:t>
            </w:r>
          </w:p>
          <w:p w14:paraId="411CA6EC" w14:textId="77777777" w:rsidR="00F618FE" w:rsidRDefault="00F618FE" w:rsidP="00F618FE">
            <w:r>
              <w:t>1.</w:t>
            </w:r>
            <w:r>
              <w:tab/>
              <w:t>Portfolio Holders continue working with officers to achieve improvement against identified key challenges (Appendix 1);</w:t>
            </w:r>
          </w:p>
          <w:p w14:paraId="6C11156B" w14:textId="033C802F" w:rsidR="00591016" w:rsidRDefault="00F618FE" w:rsidP="00F618FE">
            <w:r>
              <w:t>2.</w:t>
            </w:r>
            <w:r>
              <w:tab/>
              <w:t>Cabinet note the report and identify any changes it wishes to see in future reports.</w:t>
            </w:r>
          </w:p>
          <w:p w14:paraId="3B60BF54" w14:textId="77777777" w:rsidR="001B5C32" w:rsidRDefault="001B5C32" w:rsidP="00F618FE"/>
          <w:p w14:paraId="718FBE5C" w14:textId="77777777" w:rsidR="00556A59" w:rsidRDefault="001C7E35" w:rsidP="0054590F">
            <w:pPr>
              <w:pStyle w:val="Heading2"/>
            </w:pPr>
            <w:r>
              <w:lastRenderedPageBreak/>
              <w:t>Reason:  (For recommendation</w:t>
            </w:r>
            <w:r w:rsidR="00714BEE">
              <w:t>s</w:t>
            </w:r>
            <w:r>
              <w:t>)</w:t>
            </w:r>
            <w:r w:rsidR="00F91AE4">
              <w:t xml:space="preserve"> </w:t>
            </w:r>
          </w:p>
          <w:p w14:paraId="3B8596C3" w14:textId="430E3363" w:rsidR="009C5F6F" w:rsidRPr="009C5F6F" w:rsidRDefault="00F618FE" w:rsidP="00F618FE">
            <w:r>
              <w:t xml:space="preserve">1 &amp; 2. </w:t>
            </w:r>
            <w:r w:rsidR="009C5F6F" w:rsidRPr="009C5F6F">
              <w:t>To enable Cabinet to be informed of performance against key measures and to identify and assign corrective action where necessary</w:t>
            </w:r>
            <w:r w:rsidR="009C5F6F">
              <w:t>.</w:t>
            </w:r>
          </w:p>
          <w:p w14:paraId="252F860F" w14:textId="77777777" w:rsidR="00333FAA" w:rsidRDefault="00333FAA" w:rsidP="00A53B04">
            <w:pPr>
              <w:jc w:val="both"/>
              <w:rPr>
                <w:rFonts w:cs="Arial"/>
              </w:rPr>
            </w:pPr>
          </w:p>
        </w:tc>
      </w:tr>
    </w:tbl>
    <w:p w14:paraId="6B386537" w14:textId="77777777" w:rsidR="00333FAA" w:rsidRDefault="00333FAA" w:rsidP="00333FAA">
      <w:pPr>
        <w:pStyle w:val="Heading1"/>
        <w:rPr>
          <w:rFonts w:ascii="Arial" w:hAnsi="Arial"/>
          <w:sz w:val="24"/>
          <w:szCs w:val="24"/>
        </w:rPr>
      </w:pPr>
    </w:p>
    <w:p w14:paraId="6D8FD1F5" w14:textId="77777777" w:rsidR="0036201C" w:rsidRPr="0036201C" w:rsidRDefault="0036201C" w:rsidP="0036201C"/>
    <w:p w14:paraId="4176A242" w14:textId="77777777" w:rsidR="00333FAA" w:rsidRDefault="00333FAA" w:rsidP="00DC6AC5">
      <w:pPr>
        <w:pStyle w:val="Heading1"/>
        <w:keepNext/>
      </w:pPr>
      <w:r>
        <w:t>Section 2 – Report</w:t>
      </w:r>
    </w:p>
    <w:p w14:paraId="2C9DBA34" w14:textId="77777777" w:rsidR="00333FAA" w:rsidRDefault="00333FAA" w:rsidP="00DC6AC5">
      <w:pPr>
        <w:pStyle w:val="Heading2"/>
        <w:keepNext/>
      </w:pPr>
    </w:p>
    <w:p w14:paraId="39FD1D41" w14:textId="77777777" w:rsidR="001C7E35" w:rsidRDefault="001C7E35" w:rsidP="00DC6AC5">
      <w:pPr>
        <w:pStyle w:val="Heading2"/>
        <w:keepNext/>
      </w:pPr>
      <w:r>
        <w:t>Introductory paragraph</w:t>
      </w:r>
    </w:p>
    <w:p w14:paraId="6EFF93B4" w14:textId="77777777" w:rsidR="008642B9" w:rsidRPr="008642B9" w:rsidRDefault="008642B9" w:rsidP="00DC6AC5">
      <w:pPr>
        <w:keepNext/>
      </w:pPr>
    </w:p>
    <w:p w14:paraId="59AD78C9" w14:textId="5DD254AE" w:rsidR="008642B9" w:rsidRDefault="008642B9" w:rsidP="008642B9">
      <w:r>
        <w:t xml:space="preserve">Cabinet sits in the role of Performance Board on a quarterly basis to receive the Strategic Performance Report. The report helps members to monitor progress against the Council’s vision and Corporate Priorities and identify corrective action where necessary. </w:t>
      </w:r>
    </w:p>
    <w:p w14:paraId="0F1EBDD4" w14:textId="77777777" w:rsidR="00D04F65" w:rsidRDefault="00D04F65" w:rsidP="008642B9"/>
    <w:p w14:paraId="29651E59" w14:textId="2CE737A1" w:rsidR="00D04F65" w:rsidRDefault="00D04F65" w:rsidP="008642B9">
      <w:r>
        <w:t>This quarter’s report includes also proposed changes in the way performance is reported each cycle.</w:t>
      </w:r>
    </w:p>
    <w:p w14:paraId="560CF1DF" w14:textId="77777777" w:rsidR="001C7E35" w:rsidRDefault="001C7E35" w:rsidP="001C7E35"/>
    <w:p w14:paraId="5F8D17E2" w14:textId="77777777" w:rsidR="00E04002" w:rsidRDefault="00E04002" w:rsidP="00E04002">
      <w:pPr>
        <w:pStyle w:val="Heading2"/>
        <w:keepNext/>
      </w:pPr>
      <w:r>
        <w:t>Reporting Format</w:t>
      </w:r>
    </w:p>
    <w:p w14:paraId="42DA16D6" w14:textId="77777777" w:rsidR="00E04002" w:rsidRDefault="00E04002" w:rsidP="00E04002">
      <w:pPr>
        <w:pStyle w:val="Heading2"/>
        <w:keepNext/>
      </w:pPr>
    </w:p>
    <w:p w14:paraId="43AAF27F" w14:textId="356B0D18" w:rsidR="00E04002" w:rsidRDefault="00E04002" w:rsidP="00E04002">
      <w:r>
        <w:t xml:space="preserve">Appendix 1 </w:t>
      </w:r>
      <w:r w:rsidR="004954B8">
        <w:t xml:space="preserve">to </w:t>
      </w:r>
      <w:r>
        <w:t xml:space="preserve">this report addresses performance against the objectives in the Council’s corporate plan, Harrow Ambition, and is arranged by reference to the five strategic themes: </w:t>
      </w:r>
    </w:p>
    <w:p w14:paraId="1025DB6A" w14:textId="77777777" w:rsidR="00E04002" w:rsidRDefault="00E04002" w:rsidP="00E04002"/>
    <w:p w14:paraId="1B0858ED" w14:textId="2C775EAF" w:rsidR="00E04002" w:rsidRDefault="00E04002" w:rsidP="00E04002">
      <w:r>
        <w:t>1. Build a Better Harrow</w:t>
      </w:r>
    </w:p>
    <w:p w14:paraId="2A483019" w14:textId="77777777" w:rsidR="00E04002" w:rsidRDefault="00E04002" w:rsidP="00E04002">
      <w:r>
        <w:t>2. Support those Most in Need</w:t>
      </w:r>
    </w:p>
    <w:p w14:paraId="2E6A0B2C" w14:textId="77777777" w:rsidR="00E04002" w:rsidRDefault="00E04002" w:rsidP="00E04002">
      <w:r>
        <w:t>3. Protect Vital Public Services</w:t>
      </w:r>
    </w:p>
    <w:p w14:paraId="353B5387" w14:textId="77777777" w:rsidR="00E04002" w:rsidRDefault="00E04002" w:rsidP="00E04002">
      <w:r>
        <w:t>4. Deliver a Strong Local Economy for All</w:t>
      </w:r>
    </w:p>
    <w:p w14:paraId="078EF514" w14:textId="400032E4" w:rsidR="00E04002" w:rsidRDefault="00E04002" w:rsidP="00E04002">
      <w:r>
        <w:t>5. Modernise Harrow Council</w:t>
      </w:r>
    </w:p>
    <w:p w14:paraId="7A782BEC" w14:textId="77777777" w:rsidR="00E04002" w:rsidRDefault="00E04002" w:rsidP="00E04002"/>
    <w:p w14:paraId="7B89C5F3" w14:textId="0B637902" w:rsidR="00A322BE" w:rsidRDefault="00E04002" w:rsidP="00E04002">
      <w:r>
        <w:t xml:space="preserve">The sections providing updates against projects and initiatives in the Harrow Ambition Plan </w:t>
      </w:r>
      <w:r w:rsidR="004954B8">
        <w:t>use amend</w:t>
      </w:r>
      <w:r w:rsidR="00A322BE" w:rsidRPr="00A322BE">
        <w:t xml:space="preserve">ed wordings </w:t>
      </w:r>
      <w:r w:rsidR="004954B8">
        <w:t xml:space="preserve">to </w:t>
      </w:r>
      <w:r w:rsidR="00A322BE" w:rsidRPr="00A322BE">
        <w:t xml:space="preserve">reflect the intention of Cabinet </w:t>
      </w:r>
      <w:r w:rsidR="004954B8">
        <w:t xml:space="preserve">(Minute 223, 12 September 2019) </w:t>
      </w:r>
      <w:r w:rsidR="00A322BE" w:rsidRPr="00A322BE">
        <w:t xml:space="preserve">whilst they </w:t>
      </w:r>
      <w:r w:rsidR="004954B8">
        <w:t>stand to be</w:t>
      </w:r>
      <w:r w:rsidR="00A322BE" w:rsidRPr="00A322BE">
        <w:t xml:space="preserve"> formal</w:t>
      </w:r>
      <w:r w:rsidR="004954B8">
        <w:t>ly confirmed by Council on 16 January 2020.</w:t>
      </w:r>
    </w:p>
    <w:p w14:paraId="589521A6" w14:textId="77777777" w:rsidR="00A322BE" w:rsidRDefault="00A322BE" w:rsidP="00E04002"/>
    <w:p w14:paraId="0225F176" w14:textId="13D24F1F" w:rsidR="004954B8" w:rsidRDefault="004954B8" w:rsidP="00E04002">
      <w:r>
        <w:t>The format of the Appendix has been refreshed</w:t>
      </w:r>
      <w:r w:rsidR="00E9650A">
        <w:t>,</w:t>
      </w:r>
      <w:r>
        <w:t xml:space="preserve"> while based on a similar </w:t>
      </w:r>
      <w:r w:rsidR="00E9650A">
        <w:t>set of information as previous reports.</w:t>
      </w:r>
      <w:r w:rsidR="003042F4">
        <w:t xml:space="preserve"> Notable differences are:</w:t>
      </w:r>
    </w:p>
    <w:p w14:paraId="44F8B205" w14:textId="410E5C36" w:rsidR="003042F4" w:rsidRDefault="003042F4" w:rsidP="003042F4">
      <w:pPr>
        <w:pStyle w:val="ListParagraph"/>
        <w:numPr>
          <w:ilvl w:val="0"/>
          <w:numId w:val="49"/>
        </w:numPr>
      </w:pPr>
      <w:r>
        <w:t>graphics provide summaries - by theme and overall - of performance against both strategic objectives and metrics</w:t>
      </w:r>
      <w:r w:rsidR="00F710E6">
        <w:t xml:space="preserve"> (scorecard measures)</w:t>
      </w:r>
      <w:r w:rsidR="003C2B13">
        <w:t>;</w:t>
      </w:r>
    </w:p>
    <w:p w14:paraId="5E29B0AA" w14:textId="66FF0FBE" w:rsidR="003C2B13" w:rsidRDefault="003C2B13" w:rsidP="003042F4">
      <w:pPr>
        <w:pStyle w:val="ListParagraph"/>
        <w:numPr>
          <w:ilvl w:val="0"/>
          <w:numId w:val="49"/>
        </w:numPr>
      </w:pPr>
      <w:r>
        <w:t>in the scorecard sections, the most recent RAG</w:t>
      </w:r>
      <w:r>
        <w:rPr>
          <w:rStyle w:val="FootnoteReference"/>
        </w:rPr>
        <w:footnoteReference w:id="1"/>
      </w:r>
      <w:r>
        <w:t xml:space="preserve"> status is included, which provides a value for every measure</w:t>
      </w:r>
      <w:r w:rsidR="00406FC6">
        <w:t>,</w:t>
      </w:r>
      <w:r>
        <w:t xml:space="preserve"> including those t</w:t>
      </w:r>
      <w:r w:rsidR="00406FC6">
        <w:t>hat do not report every quarter: these are used for calculating the summaries;</w:t>
      </w:r>
    </w:p>
    <w:p w14:paraId="34C3167B" w14:textId="3DC029D9" w:rsidR="00406FC6" w:rsidRDefault="00406FC6" w:rsidP="003042F4">
      <w:pPr>
        <w:pStyle w:val="ListParagraph"/>
        <w:numPr>
          <w:ilvl w:val="0"/>
          <w:numId w:val="49"/>
        </w:numPr>
      </w:pPr>
      <w:r>
        <w:t>management commentary against underperforming measures now appears in the scorecard sections;</w:t>
      </w:r>
    </w:p>
    <w:p w14:paraId="657467D4" w14:textId="29BA9823" w:rsidR="00406FC6" w:rsidRDefault="00406FC6" w:rsidP="003042F4">
      <w:pPr>
        <w:pStyle w:val="ListParagraph"/>
        <w:numPr>
          <w:ilvl w:val="0"/>
          <w:numId w:val="49"/>
        </w:numPr>
      </w:pPr>
      <w:r>
        <w:t>the headline measures for each theme appear as colour coded blocks;</w:t>
      </w:r>
    </w:p>
    <w:p w14:paraId="607500A5" w14:textId="77777777" w:rsidR="00406FC6" w:rsidRDefault="00406FC6" w:rsidP="00406FC6"/>
    <w:p w14:paraId="2F8D7B8F" w14:textId="77777777" w:rsidR="00E9650A" w:rsidRDefault="00E9650A" w:rsidP="00E04002"/>
    <w:p w14:paraId="3DD7FE27" w14:textId="5AF8B63B" w:rsidR="009C5F6F" w:rsidRDefault="00A80DBC" w:rsidP="00DC6AC5">
      <w:pPr>
        <w:pStyle w:val="Heading2"/>
        <w:keepNext/>
      </w:pPr>
      <w:r>
        <w:lastRenderedPageBreak/>
        <w:t xml:space="preserve">Options </w:t>
      </w:r>
      <w:r w:rsidR="001C7E35">
        <w:t>considered</w:t>
      </w:r>
    </w:p>
    <w:p w14:paraId="187601AF" w14:textId="77777777" w:rsidR="009C5F6F" w:rsidRPr="009C5F6F" w:rsidRDefault="009C5F6F" w:rsidP="00DC6AC5">
      <w:pPr>
        <w:keepNext/>
      </w:pPr>
    </w:p>
    <w:p w14:paraId="3AF65DB7" w14:textId="77777777" w:rsidR="009C5F6F" w:rsidRDefault="009C5F6F" w:rsidP="009C5F6F">
      <w:r w:rsidRPr="00A52457">
        <w:t xml:space="preserve">Cabinet’s terms of reference in the </w:t>
      </w:r>
      <w:r>
        <w:t>C</w:t>
      </w:r>
      <w:r w:rsidRPr="00A52457">
        <w:t>onstitution include overseeing strategic</w:t>
      </w:r>
      <w:r>
        <w:t xml:space="preserve"> </w:t>
      </w:r>
      <w:r w:rsidRPr="00A52457">
        <w:t>performance issues on a quarterly basis and as such an option of not</w:t>
      </w:r>
      <w:r>
        <w:t xml:space="preserve"> </w:t>
      </w:r>
      <w:r w:rsidRPr="00A52457">
        <w:t>delivering this report has not been considered</w:t>
      </w:r>
      <w:r>
        <w:t>.</w:t>
      </w:r>
    </w:p>
    <w:p w14:paraId="022B6601" w14:textId="77777777" w:rsidR="009C5F6F" w:rsidRDefault="009C5F6F" w:rsidP="009C5F6F"/>
    <w:p w14:paraId="04011ADA" w14:textId="77777777" w:rsidR="001E0909" w:rsidRDefault="001E0909" w:rsidP="0054590F"/>
    <w:p w14:paraId="7A08AD42" w14:textId="77777777" w:rsidR="00307F76" w:rsidRDefault="00307F76" w:rsidP="00DC6AC5">
      <w:pPr>
        <w:keepNext/>
        <w:rPr>
          <w:b/>
        </w:rPr>
      </w:pPr>
      <w:r w:rsidRPr="00307F76">
        <w:rPr>
          <w:b/>
        </w:rPr>
        <w:t xml:space="preserve">Ward Councillors’ comments </w:t>
      </w:r>
    </w:p>
    <w:p w14:paraId="39EBB8E9" w14:textId="77777777" w:rsidR="00955421" w:rsidRPr="00E75091" w:rsidRDefault="00955421" w:rsidP="00DC6AC5">
      <w:pPr>
        <w:keepNext/>
      </w:pPr>
    </w:p>
    <w:p w14:paraId="3973727B" w14:textId="1CFBADBB" w:rsidR="00E75091" w:rsidRDefault="00E75091" w:rsidP="00E75091">
      <w:pPr>
        <w:tabs>
          <w:tab w:val="left" w:pos="7245"/>
        </w:tabs>
      </w:pPr>
      <w:r w:rsidRPr="00E75091">
        <w:t>Not applicable.</w:t>
      </w:r>
    </w:p>
    <w:p w14:paraId="23EE5B51" w14:textId="77777777" w:rsidR="00E75091" w:rsidRDefault="00E75091" w:rsidP="00E75091">
      <w:pPr>
        <w:tabs>
          <w:tab w:val="left" w:pos="7245"/>
        </w:tabs>
      </w:pPr>
    </w:p>
    <w:p w14:paraId="396FC210" w14:textId="77777777" w:rsidR="001E0909" w:rsidRPr="00E75091" w:rsidRDefault="001E0909" w:rsidP="00E75091">
      <w:pPr>
        <w:tabs>
          <w:tab w:val="left" w:pos="7245"/>
        </w:tabs>
      </w:pPr>
    </w:p>
    <w:p w14:paraId="538CD1E2" w14:textId="77777777" w:rsidR="00D04F65" w:rsidRDefault="00D04F65" w:rsidP="00D04F65">
      <w:pPr>
        <w:pStyle w:val="Heading4"/>
        <w:tabs>
          <w:tab w:val="left" w:pos="3600"/>
        </w:tabs>
        <w:rPr>
          <w:szCs w:val="24"/>
        </w:rPr>
      </w:pPr>
      <w:r w:rsidRPr="002A6F7F">
        <w:rPr>
          <w:szCs w:val="24"/>
        </w:rPr>
        <w:t>Performance Issues</w:t>
      </w:r>
    </w:p>
    <w:p w14:paraId="7C163543" w14:textId="77777777" w:rsidR="00385167" w:rsidRPr="00385167" w:rsidRDefault="00385167" w:rsidP="00385167">
      <w:pPr>
        <w:keepNext/>
      </w:pPr>
    </w:p>
    <w:p w14:paraId="5C5C9C53" w14:textId="77777777" w:rsidR="00D04F65" w:rsidRPr="002A6F7F" w:rsidRDefault="00D04F65" w:rsidP="00D04F65">
      <w:pPr>
        <w:tabs>
          <w:tab w:val="left" w:pos="7245"/>
        </w:tabs>
        <w:rPr>
          <w:i/>
        </w:rPr>
      </w:pPr>
      <w:r w:rsidRPr="002A6F7F">
        <w:t>The report deals in detail with performance issues.</w:t>
      </w:r>
    </w:p>
    <w:p w14:paraId="67E5F218" w14:textId="77777777" w:rsidR="00D04F65" w:rsidRDefault="00D04F65" w:rsidP="00D04F65">
      <w:pPr>
        <w:tabs>
          <w:tab w:val="left" w:pos="7245"/>
        </w:tabs>
      </w:pPr>
    </w:p>
    <w:p w14:paraId="4006FAEC" w14:textId="77777777" w:rsidR="0054590F" w:rsidRDefault="0054590F" w:rsidP="001C7E35">
      <w:pPr>
        <w:tabs>
          <w:tab w:val="left" w:pos="7245"/>
        </w:tabs>
      </w:pPr>
    </w:p>
    <w:p w14:paraId="2F2275C0" w14:textId="77777777" w:rsidR="00D04F65" w:rsidRDefault="00D04F65" w:rsidP="00D04F65">
      <w:pPr>
        <w:pStyle w:val="Heading4"/>
        <w:rPr>
          <w:szCs w:val="24"/>
        </w:rPr>
      </w:pPr>
      <w:r w:rsidRPr="002A6F7F">
        <w:rPr>
          <w:szCs w:val="24"/>
        </w:rPr>
        <w:t>Environmental Implications</w:t>
      </w:r>
    </w:p>
    <w:p w14:paraId="32D64F67" w14:textId="77777777" w:rsidR="00D04F65" w:rsidRPr="00D04F65" w:rsidRDefault="00D04F65" w:rsidP="00D04F65">
      <w:pPr>
        <w:keepNext/>
      </w:pPr>
    </w:p>
    <w:p w14:paraId="580C0BE9" w14:textId="77777777" w:rsidR="00D04F65" w:rsidRDefault="00D04F65" w:rsidP="00D04F65">
      <w:r>
        <w:t>There are no direct environmental implications arising from this report. However, each of the projects referred to in the report will have some environmental impact and this should be assessed to ensure that any decisions, taken in response to this report, do not have a negative impact on the environment and, where possible, positively contribute towards the Council’s climate change strategy.</w:t>
      </w:r>
    </w:p>
    <w:p w14:paraId="6131CD39" w14:textId="77777777" w:rsidR="00D04F65" w:rsidRDefault="00D04F65" w:rsidP="00D04F65">
      <w:pPr>
        <w:tabs>
          <w:tab w:val="left" w:pos="7245"/>
        </w:tabs>
      </w:pPr>
    </w:p>
    <w:p w14:paraId="6B69E6DB" w14:textId="77777777" w:rsidR="002A3FEF" w:rsidRDefault="002A3FEF" w:rsidP="001C7E35"/>
    <w:p w14:paraId="410D8AEE" w14:textId="77777777" w:rsidR="00D04F65" w:rsidRDefault="00D04F65" w:rsidP="00D04F65">
      <w:pPr>
        <w:pStyle w:val="Heading2"/>
        <w:keepNext/>
      </w:pPr>
      <w:r>
        <w:t>Risk Management Implications</w:t>
      </w:r>
    </w:p>
    <w:p w14:paraId="3F97A57A" w14:textId="77777777" w:rsidR="00D04F65" w:rsidRDefault="00D04F65" w:rsidP="00D04F65">
      <w:pPr>
        <w:pStyle w:val="Heading4"/>
        <w:rPr>
          <w:b w:val="0"/>
        </w:rPr>
      </w:pPr>
    </w:p>
    <w:p w14:paraId="37B40B11" w14:textId="77777777" w:rsidR="00D04F65" w:rsidRPr="00F43A35" w:rsidRDefault="00D04F65" w:rsidP="00D04F65">
      <w:pPr>
        <w:rPr>
          <w:iCs/>
        </w:rPr>
      </w:pPr>
      <w:r w:rsidRPr="00F43A35">
        <w:rPr>
          <w:iCs/>
        </w:rPr>
        <w:t>The risks arising from the Performance Report will be measured through the Council’s Corporate Risk Register.</w:t>
      </w:r>
    </w:p>
    <w:p w14:paraId="11196B89" w14:textId="77777777" w:rsidR="00D04F65" w:rsidRDefault="00D04F65" w:rsidP="00D04F65">
      <w:pPr>
        <w:ind w:right="141"/>
        <w:rPr>
          <w:rFonts w:cs="Arial"/>
          <w:szCs w:val="24"/>
          <w:lang w:val="en-US" w:eastAsia="en-GB"/>
        </w:rPr>
      </w:pPr>
    </w:p>
    <w:p w14:paraId="55A8E479" w14:textId="77777777" w:rsidR="00A81E19" w:rsidRDefault="00A81E19" w:rsidP="00A81E19">
      <w:pPr>
        <w:ind w:right="141"/>
        <w:rPr>
          <w:rFonts w:cs="Arial"/>
          <w:szCs w:val="24"/>
          <w:lang w:val="en-US" w:eastAsia="en-GB"/>
        </w:rPr>
      </w:pPr>
    </w:p>
    <w:p w14:paraId="42D1C73F" w14:textId="77777777" w:rsidR="00D04F65" w:rsidRPr="00140D7F" w:rsidRDefault="00D04F65" w:rsidP="00D04F65">
      <w:pPr>
        <w:pStyle w:val="Heading2"/>
        <w:keepNext/>
      </w:pPr>
      <w:r w:rsidRPr="00140D7F">
        <w:t xml:space="preserve">Procurement Implications </w:t>
      </w:r>
    </w:p>
    <w:p w14:paraId="04D59BB9" w14:textId="77777777" w:rsidR="00D04F65" w:rsidRPr="00140D7F" w:rsidRDefault="00D04F65" w:rsidP="00D04F65">
      <w:pPr>
        <w:keepNext/>
      </w:pPr>
    </w:p>
    <w:p w14:paraId="11C3C7E6" w14:textId="2747CF04" w:rsidR="00D04F65" w:rsidRPr="00140D7F" w:rsidRDefault="0054011E" w:rsidP="00D04F65">
      <w:r w:rsidRPr="002F7F41">
        <w:t>Any procurement currently being conducted or arising out of the information given in this report will be undertaken compliant with the Public Contract Regulations 2015 and will be supported by the procurement team</w:t>
      </w:r>
      <w:r w:rsidRPr="00140D7F">
        <w:t>.</w:t>
      </w:r>
    </w:p>
    <w:p w14:paraId="1ED8852B" w14:textId="77777777" w:rsidR="00D04F65" w:rsidRPr="00140D7F" w:rsidRDefault="00D04F65" w:rsidP="00D04F65"/>
    <w:p w14:paraId="4BB4FF05" w14:textId="77777777" w:rsidR="002A3FEF" w:rsidRPr="00DE7528" w:rsidRDefault="002A3FEF" w:rsidP="00DE7528"/>
    <w:p w14:paraId="51BC71BC" w14:textId="77777777" w:rsidR="00D04F65" w:rsidRPr="00140D7F" w:rsidRDefault="00D04F65" w:rsidP="00385167">
      <w:pPr>
        <w:pStyle w:val="Heading2"/>
        <w:keepNext/>
      </w:pPr>
      <w:r w:rsidRPr="00140D7F">
        <w:t>Legal Implications</w:t>
      </w:r>
    </w:p>
    <w:p w14:paraId="45641A07" w14:textId="77777777" w:rsidR="00D04F65" w:rsidRPr="00140D7F" w:rsidRDefault="00D04F65" w:rsidP="00385167">
      <w:pPr>
        <w:pStyle w:val="Heading4"/>
        <w:rPr>
          <w:b w:val="0"/>
        </w:rPr>
      </w:pPr>
    </w:p>
    <w:p w14:paraId="2C476B7D" w14:textId="77777777" w:rsidR="00D04F65" w:rsidRPr="00140D7F" w:rsidRDefault="00D04F65" w:rsidP="00D04F65">
      <w:proofErr w:type="gramStart"/>
      <w:r w:rsidRPr="00DC6AC5">
        <w:t>None specific to this report.</w:t>
      </w:r>
      <w:proofErr w:type="gramEnd"/>
    </w:p>
    <w:p w14:paraId="4AF3784C" w14:textId="77777777" w:rsidR="00D04F65" w:rsidRPr="00140D7F" w:rsidRDefault="00D04F65" w:rsidP="00D04F65"/>
    <w:p w14:paraId="1C999D70" w14:textId="77777777" w:rsidR="001C7E35" w:rsidRDefault="001C7E35" w:rsidP="001C7E35"/>
    <w:p w14:paraId="417FD2EC" w14:textId="77777777" w:rsidR="00385167" w:rsidRPr="00140D7F" w:rsidRDefault="00385167" w:rsidP="00385167">
      <w:pPr>
        <w:pStyle w:val="Heading2"/>
        <w:keepNext/>
      </w:pPr>
      <w:r w:rsidRPr="00140D7F">
        <w:t>Financial Implications</w:t>
      </w:r>
    </w:p>
    <w:p w14:paraId="5FCB84CB" w14:textId="77777777" w:rsidR="00385167" w:rsidRPr="00140D7F" w:rsidRDefault="00385167" w:rsidP="00385167">
      <w:pPr>
        <w:keepNext/>
      </w:pPr>
    </w:p>
    <w:p w14:paraId="1DB25084" w14:textId="77777777" w:rsidR="00385167" w:rsidRPr="00140D7F" w:rsidRDefault="00385167" w:rsidP="00385167">
      <w:pPr>
        <w:autoSpaceDE w:val="0"/>
        <w:autoSpaceDN w:val="0"/>
        <w:adjustRightInd w:val="0"/>
      </w:pPr>
      <w:r w:rsidRPr="00140D7F">
        <w:t>There are no Financial Implications arising from this report.</w:t>
      </w:r>
    </w:p>
    <w:p w14:paraId="5CC79997" w14:textId="77777777" w:rsidR="00385167" w:rsidRPr="00140D7F" w:rsidRDefault="00385167" w:rsidP="00385167"/>
    <w:p w14:paraId="5DDE2DA0" w14:textId="77777777" w:rsidR="00385167" w:rsidRPr="00140D7F" w:rsidRDefault="00385167" w:rsidP="00385167">
      <w:pPr>
        <w:pStyle w:val="Heading2"/>
        <w:keepNext/>
      </w:pPr>
      <w:r w:rsidRPr="00140D7F">
        <w:lastRenderedPageBreak/>
        <w:t>Equalities implications / Public Sector Equality Duty</w:t>
      </w:r>
    </w:p>
    <w:p w14:paraId="2F89367B" w14:textId="77777777" w:rsidR="00385167" w:rsidRPr="00140D7F" w:rsidRDefault="00385167" w:rsidP="00385167">
      <w:pPr>
        <w:keepNext/>
      </w:pPr>
    </w:p>
    <w:p w14:paraId="3DFBE0FA" w14:textId="77777777" w:rsidR="00385167" w:rsidRPr="00140D7F" w:rsidRDefault="00385167" w:rsidP="00385167">
      <w:r w:rsidRPr="00140D7F">
        <w:t>Any decisions driven by the actions taken in response to this report will need to be assessed through an Equalities Impact Assessment.</w:t>
      </w:r>
    </w:p>
    <w:p w14:paraId="09CAFEA6" w14:textId="77777777" w:rsidR="00FE17E2" w:rsidRDefault="00FE17E2" w:rsidP="001966D7"/>
    <w:p w14:paraId="4B97D343" w14:textId="77777777" w:rsidR="00333FAA" w:rsidRPr="009117F2" w:rsidRDefault="00333FAA" w:rsidP="00385167">
      <w:pPr>
        <w:keepNext/>
        <w:rPr>
          <w:b/>
          <w:sz w:val="28"/>
          <w:szCs w:val="28"/>
        </w:rPr>
      </w:pPr>
      <w:r>
        <w:rPr>
          <w:b/>
          <w:sz w:val="28"/>
          <w:szCs w:val="28"/>
        </w:rPr>
        <w:t xml:space="preserve">Council </w:t>
      </w:r>
      <w:r w:rsidRPr="009117F2">
        <w:rPr>
          <w:b/>
          <w:sz w:val="28"/>
          <w:szCs w:val="28"/>
        </w:rPr>
        <w:t>Priorities</w:t>
      </w:r>
    </w:p>
    <w:p w14:paraId="1A908A95" w14:textId="77777777" w:rsidR="00333FAA" w:rsidRDefault="00333FAA" w:rsidP="00385167">
      <w:pPr>
        <w:keepNext/>
      </w:pPr>
    </w:p>
    <w:p w14:paraId="26B9A257" w14:textId="3B0B1C5D" w:rsidR="00385167" w:rsidRDefault="00385167" w:rsidP="001966D7">
      <w:pPr>
        <w:rPr>
          <w:rFonts w:cs="Arial"/>
          <w:szCs w:val="24"/>
          <w:lang w:val="en-US"/>
        </w:rPr>
      </w:pPr>
      <w:r w:rsidRPr="00385167">
        <w:rPr>
          <w:rFonts w:cs="Arial"/>
          <w:szCs w:val="24"/>
          <w:lang w:val="en-US"/>
        </w:rPr>
        <w:t xml:space="preserve">This report deals with progress against each of the </w:t>
      </w:r>
      <w:r>
        <w:rPr>
          <w:rFonts w:cs="Arial"/>
          <w:szCs w:val="24"/>
          <w:lang w:val="en-US"/>
        </w:rPr>
        <w:t>Council Priorities</w:t>
      </w:r>
      <w:r w:rsidRPr="00385167">
        <w:rPr>
          <w:rFonts w:cs="Arial"/>
          <w:szCs w:val="24"/>
          <w:lang w:val="en-US"/>
        </w:rPr>
        <w:t>, as shown in Appendix</w:t>
      </w:r>
      <w:r w:rsidR="00E9650A">
        <w:rPr>
          <w:rFonts w:cs="Arial"/>
          <w:szCs w:val="24"/>
          <w:lang w:val="en-US"/>
        </w:rPr>
        <w:t xml:space="preserve"> 1</w:t>
      </w:r>
      <w:r w:rsidRPr="00385167">
        <w:rPr>
          <w:rFonts w:cs="Arial"/>
          <w:szCs w:val="24"/>
          <w:lang w:val="en-US"/>
        </w:rPr>
        <w:t>.</w:t>
      </w:r>
    </w:p>
    <w:p w14:paraId="62255B5F" w14:textId="77777777" w:rsidR="00385167" w:rsidRDefault="00385167" w:rsidP="001966D7">
      <w:pPr>
        <w:rPr>
          <w:rFonts w:cs="Arial"/>
          <w:szCs w:val="24"/>
          <w:lang w:val="en-US"/>
        </w:rPr>
      </w:pPr>
    </w:p>
    <w:p w14:paraId="3213557C" w14:textId="77777777" w:rsidR="00307F76" w:rsidRPr="00F22C98" w:rsidRDefault="00307F76" w:rsidP="00307F76"/>
    <w:p w14:paraId="2AC34DF0" w14:textId="77777777" w:rsidR="00307F76" w:rsidRPr="00F22C98" w:rsidRDefault="00307F76" w:rsidP="00307F76">
      <w:pPr>
        <w:rPr>
          <w:rFonts w:cs="Arial"/>
        </w:rPr>
      </w:pPr>
    </w:p>
    <w:p w14:paraId="2191CC80" w14:textId="77777777" w:rsidR="00333FAA" w:rsidRDefault="00333FAA" w:rsidP="00333FAA">
      <w:pPr>
        <w:pStyle w:val="Heading1"/>
        <w:keepNext/>
      </w:pPr>
      <w:r>
        <w:t>Section 3 - Statutory Officer Clearance</w:t>
      </w:r>
    </w:p>
    <w:p w14:paraId="715F1BF2"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03"/>
        <w:gridCol w:w="234"/>
        <w:gridCol w:w="3549"/>
      </w:tblGrid>
      <w:tr w:rsidR="00333FAA" w14:paraId="34E2A3EB" w14:textId="77777777">
        <w:tc>
          <w:tcPr>
            <w:tcW w:w="4752" w:type="dxa"/>
            <w:tcBorders>
              <w:bottom w:val="nil"/>
              <w:right w:val="nil"/>
            </w:tcBorders>
          </w:tcPr>
          <w:p w14:paraId="68BFFDC2" w14:textId="77777777" w:rsidR="00333FAA" w:rsidRDefault="00333FAA" w:rsidP="00E9650A">
            <w:pPr>
              <w:pStyle w:val="Infotext"/>
              <w:keepNext/>
            </w:pPr>
          </w:p>
          <w:p w14:paraId="2876FC6E" w14:textId="77777777" w:rsidR="00333FAA" w:rsidRDefault="00333FAA" w:rsidP="00E9650A">
            <w:pPr>
              <w:pStyle w:val="Infotext"/>
              <w:keepNext/>
            </w:pPr>
          </w:p>
        </w:tc>
        <w:tc>
          <w:tcPr>
            <w:tcW w:w="387" w:type="dxa"/>
            <w:tcBorders>
              <w:left w:val="nil"/>
              <w:right w:val="nil"/>
            </w:tcBorders>
          </w:tcPr>
          <w:p w14:paraId="77BED296" w14:textId="77777777" w:rsidR="00333FAA" w:rsidRDefault="00333FAA" w:rsidP="00E9650A">
            <w:pPr>
              <w:pStyle w:val="Infotext"/>
              <w:keepNext/>
            </w:pPr>
          </w:p>
        </w:tc>
        <w:tc>
          <w:tcPr>
            <w:tcW w:w="236" w:type="dxa"/>
            <w:tcBorders>
              <w:left w:val="nil"/>
              <w:bottom w:val="nil"/>
              <w:right w:val="nil"/>
            </w:tcBorders>
          </w:tcPr>
          <w:p w14:paraId="6EA1C165" w14:textId="77777777" w:rsidR="00333FAA" w:rsidRDefault="00333FAA" w:rsidP="00E9650A">
            <w:pPr>
              <w:pStyle w:val="Infotext"/>
              <w:keepNext/>
            </w:pPr>
          </w:p>
        </w:tc>
        <w:tc>
          <w:tcPr>
            <w:tcW w:w="3890" w:type="dxa"/>
            <w:tcBorders>
              <w:left w:val="nil"/>
              <w:bottom w:val="nil"/>
            </w:tcBorders>
          </w:tcPr>
          <w:p w14:paraId="4E85381A" w14:textId="77777777" w:rsidR="00333FAA" w:rsidRDefault="00333FAA" w:rsidP="00E9650A">
            <w:pPr>
              <w:pStyle w:val="Infotext"/>
              <w:keepNext/>
            </w:pPr>
          </w:p>
          <w:p w14:paraId="67C61363" w14:textId="77777777" w:rsidR="00333FAA" w:rsidRDefault="00333FAA" w:rsidP="00E9650A">
            <w:pPr>
              <w:pStyle w:val="Infotext"/>
              <w:keepNext/>
            </w:pPr>
            <w:r>
              <w:t>on behalf of the</w:t>
            </w:r>
            <w:r w:rsidR="001966D7">
              <w:t xml:space="preserve"> *</w:t>
            </w:r>
          </w:p>
        </w:tc>
      </w:tr>
      <w:tr w:rsidR="00333FAA" w14:paraId="05CC9659" w14:textId="77777777">
        <w:tc>
          <w:tcPr>
            <w:tcW w:w="4752" w:type="dxa"/>
            <w:tcBorders>
              <w:top w:val="nil"/>
              <w:bottom w:val="nil"/>
            </w:tcBorders>
          </w:tcPr>
          <w:p w14:paraId="75B737DF" w14:textId="246772E2" w:rsidR="00333FAA" w:rsidRDefault="00333FAA" w:rsidP="00E9650A">
            <w:pPr>
              <w:pStyle w:val="Infotext"/>
              <w:keepNext/>
            </w:pPr>
            <w:r>
              <w:t>Name:</w:t>
            </w:r>
            <w:r w:rsidR="00DB6C3D">
              <w:t xml:space="preserve"> </w:t>
            </w:r>
            <w:r w:rsidR="00935A48">
              <w:tab/>
            </w:r>
            <w:r w:rsidR="00440248">
              <w:t>Sharon Daniels</w:t>
            </w:r>
          </w:p>
        </w:tc>
        <w:tc>
          <w:tcPr>
            <w:tcW w:w="387" w:type="dxa"/>
            <w:tcBorders>
              <w:bottom w:val="single" w:sz="4" w:space="0" w:color="auto"/>
            </w:tcBorders>
          </w:tcPr>
          <w:p w14:paraId="10E76D7C" w14:textId="23B5636F" w:rsidR="00333FAA" w:rsidRDefault="00E9650A" w:rsidP="00E9650A">
            <w:pPr>
              <w:pStyle w:val="Infotext"/>
              <w:keepNext/>
            </w:pPr>
            <w:r>
              <w:t>X</w:t>
            </w:r>
          </w:p>
        </w:tc>
        <w:tc>
          <w:tcPr>
            <w:tcW w:w="236" w:type="dxa"/>
            <w:tcBorders>
              <w:top w:val="nil"/>
              <w:bottom w:val="nil"/>
              <w:right w:val="nil"/>
            </w:tcBorders>
          </w:tcPr>
          <w:p w14:paraId="195FF11C" w14:textId="77777777" w:rsidR="00333FAA" w:rsidRDefault="00333FAA" w:rsidP="00E9650A">
            <w:pPr>
              <w:pStyle w:val="Infotext"/>
              <w:keepNext/>
            </w:pPr>
          </w:p>
        </w:tc>
        <w:tc>
          <w:tcPr>
            <w:tcW w:w="3890" w:type="dxa"/>
            <w:tcBorders>
              <w:top w:val="nil"/>
              <w:left w:val="nil"/>
              <w:bottom w:val="nil"/>
            </w:tcBorders>
          </w:tcPr>
          <w:p w14:paraId="10B18874" w14:textId="77777777" w:rsidR="00333FAA" w:rsidRDefault="00333FAA" w:rsidP="00E9650A">
            <w:pPr>
              <w:pStyle w:val="Infotext"/>
              <w:keepNext/>
            </w:pPr>
            <w:r>
              <w:t>Chief Financial Officer</w:t>
            </w:r>
          </w:p>
        </w:tc>
      </w:tr>
      <w:tr w:rsidR="00333FAA" w14:paraId="36B15FA6" w14:textId="77777777">
        <w:tc>
          <w:tcPr>
            <w:tcW w:w="4752" w:type="dxa"/>
            <w:tcBorders>
              <w:top w:val="nil"/>
              <w:right w:val="nil"/>
            </w:tcBorders>
          </w:tcPr>
          <w:p w14:paraId="14B07D65" w14:textId="77777777" w:rsidR="00333FAA" w:rsidRDefault="00333FAA" w:rsidP="00A53B04">
            <w:pPr>
              <w:pStyle w:val="Infotext"/>
            </w:pPr>
            <w:r>
              <w:t xml:space="preserve"> </w:t>
            </w:r>
          </w:p>
          <w:p w14:paraId="51C753D9" w14:textId="7E35B4B8" w:rsidR="00333FAA" w:rsidRDefault="00333FAA" w:rsidP="00661B86">
            <w:pPr>
              <w:pStyle w:val="Infotext"/>
            </w:pPr>
            <w:r>
              <w:t xml:space="preserve">Date: </w:t>
            </w:r>
            <w:r w:rsidR="00A20D78">
              <w:t xml:space="preserve"> </w:t>
            </w:r>
            <w:r w:rsidR="00935A48">
              <w:tab/>
            </w:r>
            <w:r w:rsidR="00440248">
              <w:t>16</w:t>
            </w:r>
            <w:r w:rsidR="00661B86">
              <w:t xml:space="preserve"> Dec </w:t>
            </w:r>
            <w:r w:rsidR="00440248">
              <w:t>2019</w:t>
            </w:r>
          </w:p>
        </w:tc>
        <w:tc>
          <w:tcPr>
            <w:tcW w:w="387" w:type="dxa"/>
            <w:tcBorders>
              <w:left w:val="nil"/>
              <w:bottom w:val="single" w:sz="4" w:space="0" w:color="auto"/>
              <w:right w:val="nil"/>
            </w:tcBorders>
          </w:tcPr>
          <w:p w14:paraId="66E88299" w14:textId="77777777" w:rsidR="00333FAA" w:rsidRDefault="00333FAA" w:rsidP="00A53B04">
            <w:pPr>
              <w:pStyle w:val="Infotext"/>
            </w:pPr>
          </w:p>
        </w:tc>
        <w:tc>
          <w:tcPr>
            <w:tcW w:w="236" w:type="dxa"/>
            <w:tcBorders>
              <w:top w:val="nil"/>
              <w:left w:val="nil"/>
              <w:right w:val="nil"/>
            </w:tcBorders>
          </w:tcPr>
          <w:p w14:paraId="00E70E76" w14:textId="77777777" w:rsidR="00333FAA" w:rsidRDefault="00333FAA" w:rsidP="00A53B04">
            <w:pPr>
              <w:pStyle w:val="Infotext"/>
            </w:pPr>
          </w:p>
        </w:tc>
        <w:tc>
          <w:tcPr>
            <w:tcW w:w="3890" w:type="dxa"/>
            <w:tcBorders>
              <w:top w:val="nil"/>
              <w:left w:val="nil"/>
            </w:tcBorders>
          </w:tcPr>
          <w:p w14:paraId="3B228767" w14:textId="77777777" w:rsidR="00333FAA" w:rsidRDefault="00333FAA" w:rsidP="00A53B04">
            <w:pPr>
              <w:pStyle w:val="Infotext"/>
            </w:pPr>
          </w:p>
        </w:tc>
      </w:tr>
      <w:tr w:rsidR="00333FAA" w14:paraId="6331F8C3" w14:textId="77777777">
        <w:tc>
          <w:tcPr>
            <w:tcW w:w="4752" w:type="dxa"/>
            <w:tcBorders>
              <w:bottom w:val="nil"/>
              <w:right w:val="nil"/>
            </w:tcBorders>
          </w:tcPr>
          <w:p w14:paraId="4DAF3174" w14:textId="77777777" w:rsidR="00333FAA" w:rsidRDefault="00333FAA" w:rsidP="00E9650A">
            <w:pPr>
              <w:pStyle w:val="Infotext"/>
              <w:keepNext/>
            </w:pPr>
          </w:p>
          <w:p w14:paraId="55091A4A" w14:textId="77777777" w:rsidR="00333FAA" w:rsidRDefault="00333FAA" w:rsidP="00E9650A">
            <w:pPr>
              <w:pStyle w:val="Infotext"/>
              <w:keepNext/>
            </w:pPr>
          </w:p>
        </w:tc>
        <w:tc>
          <w:tcPr>
            <w:tcW w:w="387" w:type="dxa"/>
            <w:tcBorders>
              <w:left w:val="nil"/>
              <w:right w:val="nil"/>
            </w:tcBorders>
          </w:tcPr>
          <w:p w14:paraId="594258FB" w14:textId="77777777" w:rsidR="00333FAA" w:rsidRDefault="00333FAA" w:rsidP="00E9650A">
            <w:pPr>
              <w:pStyle w:val="Infotext"/>
              <w:keepNext/>
            </w:pPr>
          </w:p>
        </w:tc>
        <w:tc>
          <w:tcPr>
            <w:tcW w:w="236" w:type="dxa"/>
            <w:tcBorders>
              <w:left w:val="nil"/>
              <w:bottom w:val="nil"/>
              <w:right w:val="nil"/>
            </w:tcBorders>
          </w:tcPr>
          <w:p w14:paraId="615C75B1" w14:textId="77777777" w:rsidR="00333FAA" w:rsidRDefault="00333FAA" w:rsidP="00E9650A">
            <w:pPr>
              <w:pStyle w:val="Infotext"/>
              <w:keepNext/>
            </w:pPr>
          </w:p>
        </w:tc>
        <w:tc>
          <w:tcPr>
            <w:tcW w:w="3890" w:type="dxa"/>
            <w:tcBorders>
              <w:left w:val="nil"/>
              <w:bottom w:val="nil"/>
            </w:tcBorders>
          </w:tcPr>
          <w:p w14:paraId="331BDF58" w14:textId="77777777" w:rsidR="00333FAA" w:rsidRDefault="00333FAA" w:rsidP="00E9650A">
            <w:pPr>
              <w:pStyle w:val="Infotext"/>
              <w:keepNext/>
            </w:pPr>
          </w:p>
          <w:p w14:paraId="4F53F6DA" w14:textId="13A8566C" w:rsidR="00333FAA" w:rsidRDefault="00E9650A" w:rsidP="00E9650A">
            <w:pPr>
              <w:pStyle w:val="Infotext"/>
              <w:keepNext/>
            </w:pPr>
            <w:r>
              <w:t>on behalf of the *</w:t>
            </w:r>
          </w:p>
        </w:tc>
      </w:tr>
      <w:tr w:rsidR="00333FAA" w14:paraId="723B8B34" w14:textId="77777777">
        <w:tc>
          <w:tcPr>
            <w:tcW w:w="4752" w:type="dxa"/>
            <w:tcBorders>
              <w:top w:val="nil"/>
              <w:bottom w:val="nil"/>
            </w:tcBorders>
          </w:tcPr>
          <w:p w14:paraId="0F213C71" w14:textId="71EAF7B8" w:rsidR="00333FAA" w:rsidRDefault="00333FAA" w:rsidP="00E9650A">
            <w:pPr>
              <w:pStyle w:val="Infotext"/>
              <w:keepNext/>
            </w:pPr>
            <w:r>
              <w:t>Name:</w:t>
            </w:r>
            <w:r w:rsidR="001E0909">
              <w:tab/>
            </w:r>
            <w:r w:rsidR="001317FE">
              <w:t>Matthew Adams</w:t>
            </w:r>
          </w:p>
        </w:tc>
        <w:tc>
          <w:tcPr>
            <w:tcW w:w="387" w:type="dxa"/>
            <w:tcBorders>
              <w:bottom w:val="single" w:sz="4" w:space="0" w:color="auto"/>
            </w:tcBorders>
          </w:tcPr>
          <w:p w14:paraId="0918683C" w14:textId="00B45E30" w:rsidR="00333FAA" w:rsidRDefault="00E9650A" w:rsidP="00E9650A">
            <w:pPr>
              <w:pStyle w:val="Infotext"/>
              <w:keepNext/>
            </w:pPr>
            <w:r>
              <w:t>X</w:t>
            </w:r>
          </w:p>
        </w:tc>
        <w:tc>
          <w:tcPr>
            <w:tcW w:w="236" w:type="dxa"/>
            <w:tcBorders>
              <w:top w:val="nil"/>
              <w:bottom w:val="nil"/>
              <w:right w:val="nil"/>
            </w:tcBorders>
          </w:tcPr>
          <w:p w14:paraId="08638D95" w14:textId="77777777" w:rsidR="00333FAA" w:rsidRDefault="00333FAA" w:rsidP="00E9650A">
            <w:pPr>
              <w:pStyle w:val="Infotext"/>
              <w:keepNext/>
            </w:pPr>
          </w:p>
        </w:tc>
        <w:tc>
          <w:tcPr>
            <w:tcW w:w="3890" w:type="dxa"/>
            <w:tcBorders>
              <w:top w:val="nil"/>
              <w:left w:val="nil"/>
              <w:bottom w:val="nil"/>
            </w:tcBorders>
          </w:tcPr>
          <w:p w14:paraId="6E3B410D" w14:textId="77777777" w:rsidR="00333FAA" w:rsidRDefault="00333FAA" w:rsidP="00E9650A">
            <w:pPr>
              <w:pStyle w:val="Infotext"/>
              <w:keepNext/>
            </w:pPr>
            <w:r>
              <w:t>Monitoring Officer</w:t>
            </w:r>
          </w:p>
        </w:tc>
      </w:tr>
      <w:tr w:rsidR="00333FAA" w14:paraId="5BE8AAF7" w14:textId="77777777">
        <w:tc>
          <w:tcPr>
            <w:tcW w:w="4752" w:type="dxa"/>
            <w:tcBorders>
              <w:top w:val="nil"/>
              <w:right w:val="nil"/>
            </w:tcBorders>
          </w:tcPr>
          <w:p w14:paraId="715830EA" w14:textId="77777777" w:rsidR="00333FAA" w:rsidRDefault="00333FAA" w:rsidP="00A53B04">
            <w:pPr>
              <w:pStyle w:val="Infotext"/>
            </w:pPr>
          </w:p>
          <w:p w14:paraId="5F5977EB" w14:textId="5E2E474D" w:rsidR="00333FAA" w:rsidRDefault="00333FAA" w:rsidP="00E9650A">
            <w:pPr>
              <w:pStyle w:val="Infotext"/>
            </w:pPr>
            <w:r>
              <w:t xml:space="preserve">Date: </w:t>
            </w:r>
            <w:r w:rsidR="00A20D78">
              <w:t xml:space="preserve"> </w:t>
            </w:r>
            <w:r w:rsidR="001E0909">
              <w:tab/>
            </w:r>
            <w:r w:rsidR="001317FE">
              <w:t>20 Dec 2019</w:t>
            </w:r>
          </w:p>
        </w:tc>
        <w:tc>
          <w:tcPr>
            <w:tcW w:w="387" w:type="dxa"/>
            <w:tcBorders>
              <w:left w:val="nil"/>
              <w:right w:val="nil"/>
            </w:tcBorders>
          </w:tcPr>
          <w:p w14:paraId="065A5667" w14:textId="77777777" w:rsidR="00333FAA" w:rsidRDefault="00333FAA" w:rsidP="00A53B04">
            <w:pPr>
              <w:pStyle w:val="Infotext"/>
            </w:pPr>
          </w:p>
        </w:tc>
        <w:tc>
          <w:tcPr>
            <w:tcW w:w="236" w:type="dxa"/>
            <w:tcBorders>
              <w:top w:val="nil"/>
              <w:left w:val="nil"/>
              <w:right w:val="nil"/>
            </w:tcBorders>
          </w:tcPr>
          <w:p w14:paraId="52B173B3" w14:textId="77777777" w:rsidR="00333FAA" w:rsidRDefault="00333FAA" w:rsidP="00A53B04">
            <w:pPr>
              <w:pStyle w:val="Infotext"/>
            </w:pPr>
          </w:p>
        </w:tc>
        <w:tc>
          <w:tcPr>
            <w:tcW w:w="3890" w:type="dxa"/>
            <w:tcBorders>
              <w:top w:val="nil"/>
              <w:left w:val="nil"/>
            </w:tcBorders>
          </w:tcPr>
          <w:p w14:paraId="7CB08266" w14:textId="77777777" w:rsidR="00333FAA" w:rsidRDefault="00333FAA" w:rsidP="00A53B04">
            <w:pPr>
              <w:pStyle w:val="Infotext"/>
            </w:pPr>
          </w:p>
          <w:p w14:paraId="1A87843C" w14:textId="77777777" w:rsidR="00333FAA" w:rsidRDefault="00333FAA" w:rsidP="00A53B04">
            <w:pPr>
              <w:pStyle w:val="Infotext"/>
            </w:pPr>
          </w:p>
        </w:tc>
      </w:tr>
    </w:tbl>
    <w:p w14:paraId="5E30F560"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7116B1" w14:paraId="32BEF304" w14:textId="77777777" w:rsidTr="004809FA">
        <w:tc>
          <w:tcPr>
            <w:tcW w:w="4752" w:type="dxa"/>
            <w:tcBorders>
              <w:bottom w:val="nil"/>
              <w:right w:val="nil"/>
            </w:tcBorders>
          </w:tcPr>
          <w:p w14:paraId="174256E5" w14:textId="77777777" w:rsidR="00321FBB" w:rsidRDefault="00321FBB" w:rsidP="00E9650A">
            <w:pPr>
              <w:pStyle w:val="Infotext"/>
              <w:keepNext/>
            </w:pPr>
          </w:p>
          <w:p w14:paraId="670C3BB2" w14:textId="77777777" w:rsidR="00321FBB" w:rsidRDefault="00321FBB" w:rsidP="00E9650A">
            <w:pPr>
              <w:pStyle w:val="Infotext"/>
              <w:keepNext/>
            </w:pPr>
          </w:p>
        </w:tc>
        <w:tc>
          <w:tcPr>
            <w:tcW w:w="387" w:type="dxa"/>
            <w:tcBorders>
              <w:left w:val="nil"/>
              <w:right w:val="nil"/>
            </w:tcBorders>
          </w:tcPr>
          <w:p w14:paraId="5B5B17D2" w14:textId="77777777" w:rsidR="00321FBB" w:rsidRDefault="00321FBB" w:rsidP="00E9650A">
            <w:pPr>
              <w:pStyle w:val="Infotext"/>
              <w:keepNext/>
            </w:pPr>
          </w:p>
        </w:tc>
        <w:tc>
          <w:tcPr>
            <w:tcW w:w="236" w:type="dxa"/>
            <w:tcBorders>
              <w:left w:val="nil"/>
              <w:bottom w:val="nil"/>
              <w:right w:val="nil"/>
            </w:tcBorders>
          </w:tcPr>
          <w:p w14:paraId="50ADAC4E" w14:textId="77777777" w:rsidR="00321FBB" w:rsidRDefault="00321FBB" w:rsidP="00E9650A">
            <w:pPr>
              <w:pStyle w:val="Infotext"/>
              <w:keepNext/>
            </w:pPr>
          </w:p>
        </w:tc>
        <w:tc>
          <w:tcPr>
            <w:tcW w:w="3890" w:type="dxa"/>
            <w:tcBorders>
              <w:left w:val="nil"/>
              <w:bottom w:val="nil"/>
            </w:tcBorders>
          </w:tcPr>
          <w:p w14:paraId="31B7FE15" w14:textId="77777777" w:rsidR="00321FBB" w:rsidRDefault="00321FBB" w:rsidP="00E9650A">
            <w:pPr>
              <w:pStyle w:val="Infotext"/>
              <w:keepNext/>
            </w:pPr>
          </w:p>
          <w:p w14:paraId="7A9B4BFC" w14:textId="56D3816E" w:rsidR="00321FBB" w:rsidRDefault="00321FBB" w:rsidP="00E9650A">
            <w:pPr>
              <w:pStyle w:val="Infotext"/>
              <w:keepNext/>
            </w:pPr>
          </w:p>
        </w:tc>
      </w:tr>
      <w:tr w:rsidR="007116B1" w14:paraId="5F7475C5" w14:textId="77777777" w:rsidTr="004809FA">
        <w:tc>
          <w:tcPr>
            <w:tcW w:w="4752" w:type="dxa"/>
            <w:tcBorders>
              <w:top w:val="nil"/>
              <w:bottom w:val="nil"/>
            </w:tcBorders>
          </w:tcPr>
          <w:p w14:paraId="627DACA7" w14:textId="3F353F5C" w:rsidR="00321FBB" w:rsidRDefault="00321FBB" w:rsidP="00E9650A">
            <w:pPr>
              <w:pStyle w:val="Infotext"/>
              <w:keepNext/>
            </w:pPr>
            <w:r>
              <w:t xml:space="preserve">Name: </w:t>
            </w:r>
            <w:r w:rsidR="00935A48">
              <w:tab/>
            </w:r>
            <w:r w:rsidR="0054011E">
              <w:t>Nimesh Mehta</w:t>
            </w:r>
          </w:p>
        </w:tc>
        <w:tc>
          <w:tcPr>
            <w:tcW w:w="387" w:type="dxa"/>
            <w:tcBorders>
              <w:bottom w:val="single" w:sz="4" w:space="0" w:color="auto"/>
            </w:tcBorders>
          </w:tcPr>
          <w:p w14:paraId="0A557875" w14:textId="59D7CAEC" w:rsidR="00321FBB" w:rsidRDefault="001E0909" w:rsidP="00E9650A">
            <w:pPr>
              <w:pStyle w:val="Infotext"/>
              <w:keepNext/>
            </w:pPr>
            <w:r>
              <w:t>X</w:t>
            </w:r>
          </w:p>
        </w:tc>
        <w:tc>
          <w:tcPr>
            <w:tcW w:w="236" w:type="dxa"/>
            <w:tcBorders>
              <w:top w:val="nil"/>
              <w:bottom w:val="nil"/>
              <w:right w:val="nil"/>
            </w:tcBorders>
          </w:tcPr>
          <w:p w14:paraId="0BFAE8AA" w14:textId="77777777" w:rsidR="00321FBB" w:rsidRDefault="00321FBB" w:rsidP="00E9650A">
            <w:pPr>
              <w:pStyle w:val="Infotext"/>
              <w:keepNext/>
            </w:pPr>
          </w:p>
        </w:tc>
        <w:tc>
          <w:tcPr>
            <w:tcW w:w="3890" w:type="dxa"/>
            <w:tcBorders>
              <w:top w:val="nil"/>
              <w:left w:val="nil"/>
              <w:bottom w:val="nil"/>
            </w:tcBorders>
          </w:tcPr>
          <w:p w14:paraId="33BC722A" w14:textId="77777777" w:rsidR="00321FBB" w:rsidRDefault="007116B1" w:rsidP="00E9650A">
            <w:pPr>
              <w:pStyle w:val="Infotext"/>
              <w:keepNext/>
            </w:pPr>
            <w:r>
              <w:t>Head of Procurement</w:t>
            </w:r>
          </w:p>
        </w:tc>
      </w:tr>
      <w:tr w:rsidR="007116B1" w14:paraId="75109D7A" w14:textId="77777777" w:rsidTr="004809FA">
        <w:tc>
          <w:tcPr>
            <w:tcW w:w="4752" w:type="dxa"/>
            <w:tcBorders>
              <w:top w:val="nil"/>
              <w:right w:val="nil"/>
            </w:tcBorders>
          </w:tcPr>
          <w:p w14:paraId="11D6EF78" w14:textId="77777777" w:rsidR="00321FBB" w:rsidRDefault="00321FBB" w:rsidP="004809FA">
            <w:pPr>
              <w:pStyle w:val="Infotext"/>
            </w:pPr>
            <w:r>
              <w:t xml:space="preserve"> </w:t>
            </w:r>
          </w:p>
          <w:p w14:paraId="7DAD8D75" w14:textId="78CC7FF7" w:rsidR="00321FBB" w:rsidRDefault="00321FBB" w:rsidP="00E9650A">
            <w:pPr>
              <w:pStyle w:val="Infotext"/>
            </w:pPr>
            <w:r>
              <w:t xml:space="preserve">Date: </w:t>
            </w:r>
            <w:r w:rsidR="00935A48">
              <w:tab/>
            </w:r>
            <w:r w:rsidR="0054011E">
              <w:t>12 Dec 2019</w:t>
            </w:r>
          </w:p>
        </w:tc>
        <w:tc>
          <w:tcPr>
            <w:tcW w:w="387" w:type="dxa"/>
            <w:tcBorders>
              <w:left w:val="nil"/>
              <w:bottom w:val="single" w:sz="4" w:space="0" w:color="auto"/>
              <w:right w:val="nil"/>
            </w:tcBorders>
          </w:tcPr>
          <w:p w14:paraId="0618AA8F" w14:textId="77777777" w:rsidR="00321FBB" w:rsidRDefault="00321FBB" w:rsidP="004809FA">
            <w:pPr>
              <w:pStyle w:val="Infotext"/>
            </w:pPr>
          </w:p>
        </w:tc>
        <w:tc>
          <w:tcPr>
            <w:tcW w:w="236" w:type="dxa"/>
            <w:tcBorders>
              <w:top w:val="nil"/>
              <w:left w:val="nil"/>
              <w:right w:val="nil"/>
            </w:tcBorders>
          </w:tcPr>
          <w:p w14:paraId="7B53D662" w14:textId="77777777" w:rsidR="00321FBB" w:rsidRDefault="00321FBB" w:rsidP="004809FA">
            <w:pPr>
              <w:pStyle w:val="Infotext"/>
            </w:pPr>
          </w:p>
        </w:tc>
        <w:tc>
          <w:tcPr>
            <w:tcW w:w="3890" w:type="dxa"/>
            <w:tcBorders>
              <w:top w:val="nil"/>
              <w:left w:val="nil"/>
            </w:tcBorders>
          </w:tcPr>
          <w:p w14:paraId="5A5474C5" w14:textId="77777777" w:rsidR="00321FBB" w:rsidRDefault="00321FBB" w:rsidP="004809FA">
            <w:pPr>
              <w:pStyle w:val="Infotext"/>
            </w:pPr>
          </w:p>
        </w:tc>
      </w:tr>
    </w:tbl>
    <w:p w14:paraId="19765173" w14:textId="77777777" w:rsidR="00321FBB" w:rsidRDefault="00321FBB" w:rsidP="00321FBB"/>
    <w:p w14:paraId="309E1332" w14:textId="77777777" w:rsidR="00333FAA" w:rsidRDefault="00333FAA" w:rsidP="00333FAA"/>
    <w:p w14:paraId="3B533304"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8"/>
        <w:gridCol w:w="403"/>
        <w:gridCol w:w="234"/>
        <w:gridCol w:w="3570"/>
      </w:tblGrid>
      <w:tr w:rsidR="00435B5D" w14:paraId="0767DBBB" w14:textId="77777777" w:rsidTr="004F54BD">
        <w:tc>
          <w:tcPr>
            <w:tcW w:w="4752" w:type="dxa"/>
            <w:tcBorders>
              <w:bottom w:val="nil"/>
              <w:right w:val="nil"/>
            </w:tcBorders>
          </w:tcPr>
          <w:p w14:paraId="01D8EFBB" w14:textId="77777777" w:rsidR="00435B5D" w:rsidRDefault="00435B5D" w:rsidP="00E9650A">
            <w:pPr>
              <w:pStyle w:val="Infotext"/>
              <w:keepNext/>
            </w:pPr>
          </w:p>
          <w:p w14:paraId="7A719326" w14:textId="77777777" w:rsidR="00435B5D" w:rsidRDefault="00435B5D" w:rsidP="00E9650A">
            <w:pPr>
              <w:pStyle w:val="Infotext"/>
              <w:keepNext/>
            </w:pPr>
          </w:p>
        </w:tc>
        <w:tc>
          <w:tcPr>
            <w:tcW w:w="387" w:type="dxa"/>
            <w:tcBorders>
              <w:left w:val="nil"/>
              <w:right w:val="nil"/>
            </w:tcBorders>
          </w:tcPr>
          <w:p w14:paraId="72271E2D" w14:textId="77777777" w:rsidR="00435B5D" w:rsidRDefault="00435B5D" w:rsidP="00E9650A">
            <w:pPr>
              <w:pStyle w:val="Infotext"/>
              <w:keepNext/>
            </w:pPr>
          </w:p>
        </w:tc>
        <w:tc>
          <w:tcPr>
            <w:tcW w:w="236" w:type="dxa"/>
            <w:tcBorders>
              <w:left w:val="nil"/>
              <w:bottom w:val="nil"/>
              <w:right w:val="nil"/>
            </w:tcBorders>
          </w:tcPr>
          <w:p w14:paraId="61BDA167" w14:textId="77777777" w:rsidR="00435B5D" w:rsidRDefault="00435B5D" w:rsidP="00E9650A">
            <w:pPr>
              <w:pStyle w:val="Infotext"/>
              <w:keepNext/>
            </w:pPr>
          </w:p>
        </w:tc>
        <w:tc>
          <w:tcPr>
            <w:tcW w:w="3890" w:type="dxa"/>
            <w:tcBorders>
              <w:left w:val="nil"/>
              <w:bottom w:val="nil"/>
            </w:tcBorders>
          </w:tcPr>
          <w:p w14:paraId="42E5CC67" w14:textId="77777777" w:rsidR="00435B5D" w:rsidRDefault="00435B5D" w:rsidP="00E9650A">
            <w:pPr>
              <w:pStyle w:val="Infotext"/>
              <w:keepNext/>
            </w:pPr>
          </w:p>
          <w:p w14:paraId="04DF590C" w14:textId="77777777" w:rsidR="00435B5D" w:rsidRDefault="00435B5D" w:rsidP="00E9650A">
            <w:pPr>
              <w:pStyle w:val="Infotext"/>
              <w:keepNext/>
            </w:pPr>
          </w:p>
        </w:tc>
      </w:tr>
      <w:tr w:rsidR="00435B5D" w14:paraId="7CFD3283" w14:textId="77777777" w:rsidTr="004F54BD">
        <w:tc>
          <w:tcPr>
            <w:tcW w:w="4752" w:type="dxa"/>
            <w:tcBorders>
              <w:top w:val="nil"/>
              <w:bottom w:val="nil"/>
            </w:tcBorders>
          </w:tcPr>
          <w:p w14:paraId="36655B84" w14:textId="0B194D41" w:rsidR="00435B5D" w:rsidRDefault="00435B5D" w:rsidP="00022CF7">
            <w:pPr>
              <w:pStyle w:val="Infotext"/>
              <w:keepNext/>
            </w:pPr>
            <w:r>
              <w:t xml:space="preserve">Name: </w:t>
            </w:r>
            <w:r w:rsidR="001E0909">
              <w:tab/>
            </w:r>
            <w:r w:rsidR="00022CF7">
              <w:t>Sean Harriss</w:t>
            </w:r>
          </w:p>
        </w:tc>
        <w:tc>
          <w:tcPr>
            <w:tcW w:w="387" w:type="dxa"/>
            <w:tcBorders>
              <w:bottom w:val="single" w:sz="4" w:space="0" w:color="auto"/>
            </w:tcBorders>
          </w:tcPr>
          <w:p w14:paraId="6974B4D6" w14:textId="4690B302" w:rsidR="00435B5D" w:rsidRDefault="001E0909" w:rsidP="00E9650A">
            <w:pPr>
              <w:pStyle w:val="Infotext"/>
              <w:keepNext/>
            </w:pPr>
            <w:r>
              <w:t>X</w:t>
            </w:r>
          </w:p>
        </w:tc>
        <w:tc>
          <w:tcPr>
            <w:tcW w:w="236" w:type="dxa"/>
            <w:tcBorders>
              <w:top w:val="nil"/>
              <w:bottom w:val="nil"/>
              <w:right w:val="nil"/>
            </w:tcBorders>
          </w:tcPr>
          <w:p w14:paraId="3D4A666F" w14:textId="77777777" w:rsidR="00435B5D" w:rsidRDefault="00435B5D" w:rsidP="00E9650A">
            <w:pPr>
              <w:pStyle w:val="Infotext"/>
              <w:keepNext/>
            </w:pPr>
          </w:p>
        </w:tc>
        <w:tc>
          <w:tcPr>
            <w:tcW w:w="3890" w:type="dxa"/>
            <w:tcBorders>
              <w:top w:val="nil"/>
              <w:left w:val="nil"/>
              <w:bottom w:val="nil"/>
            </w:tcBorders>
          </w:tcPr>
          <w:p w14:paraId="6A48915B" w14:textId="64B5667E" w:rsidR="00435B5D" w:rsidRDefault="00022CF7" w:rsidP="00E9650A">
            <w:pPr>
              <w:pStyle w:val="Infotext"/>
              <w:keepNext/>
            </w:pPr>
            <w:r>
              <w:t>Chief Executive</w:t>
            </w:r>
          </w:p>
        </w:tc>
      </w:tr>
      <w:tr w:rsidR="00435B5D" w14:paraId="700828D6" w14:textId="77777777" w:rsidTr="004F54BD">
        <w:tc>
          <w:tcPr>
            <w:tcW w:w="4752" w:type="dxa"/>
            <w:tcBorders>
              <w:top w:val="nil"/>
              <w:right w:val="nil"/>
            </w:tcBorders>
          </w:tcPr>
          <w:p w14:paraId="1887BF5B" w14:textId="77777777" w:rsidR="00435B5D" w:rsidRDefault="00435B5D" w:rsidP="004F54BD">
            <w:pPr>
              <w:pStyle w:val="Infotext"/>
            </w:pPr>
            <w:r>
              <w:t xml:space="preserve"> </w:t>
            </w:r>
          </w:p>
          <w:p w14:paraId="2AC4D1F6" w14:textId="24CE4D43" w:rsidR="00435B5D" w:rsidRDefault="00435B5D" w:rsidP="00E9650A">
            <w:pPr>
              <w:pStyle w:val="Infotext"/>
            </w:pPr>
            <w:r>
              <w:t xml:space="preserve">Date: </w:t>
            </w:r>
            <w:r w:rsidR="00A20D78">
              <w:t xml:space="preserve"> </w:t>
            </w:r>
            <w:r w:rsidR="001E0909">
              <w:tab/>
            </w:r>
            <w:r w:rsidR="00661B86">
              <w:t>18 Dec 2019</w:t>
            </w:r>
          </w:p>
        </w:tc>
        <w:tc>
          <w:tcPr>
            <w:tcW w:w="387" w:type="dxa"/>
            <w:tcBorders>
              <w:left w:val="nil"/>
              <w:bottom w:val="single" w:sz="4" w:space="0" w:color="auto"/>
              <w:right w:val="nil"/>
            </w:tcBorders>
          </w:tcPr>
          <w:p w14:paraId="5BB7A448" w14:textId="77777777" w:rsidR="00435B5D" w:rsidRDefault="00435B5D" w:rsidP="004F54BD">
            <w:pPr>
              <w:pStyle w:val="Infotext"/>
            </w:pPr>
          </w:p>
        </w:tc>
        <w:tc>
          <w:tcPr>
            <w:tcW w:w="236" w:type="dxa"/>
            <w:tcBorders>
              <w:top w:val="nil"/>
              <w:left w:val="nil"/>
              <w:right w:val="nil"/>
            </w:tcBorders>
          </w:tcPr>
          <w:p w14:paraId="2F2636CC" w14:textId="77777777" w:rsidR="00435B5D" w:rsidRDefault="00435B5D" w:rsidP="004F54BD">
            <w:pPr>
              <w:pStyle w:val="Infotext"/>
            </w:pPr>
          </w:p>
        </w:tc>
        <w:tc>
          <w:tcPr>
            <w:tcW w:w="3890" w:type="dxa"/>
            <w:tcBorders>
              <w:top w:val="nil"/>
              <w:left w:val="nil"/>
            </w:tcBorders>
          </w:tcPr>
          <w:p w14:paraId="68110560" w14:textId="77777777" w:rsidR="00435B5D" w:rsidRDefault="00435B5D" w:rsidP="004F54BD">
            <w:pPr>
              <w:pStyle w:val="Infotext"/>
            </w:pPr>
          </w:p>
        </w:tc>
      </w:tr>
    </w:tbl>
    <w:p w14:paraId="04138857" w14:textId="77777777" w:rsidR="00435B5D" w:rsidRDefault="00435B5D" w:rsidP="00333FAA"/>
    <w:p w14:paraId="7C6228F9" w14:textId="77777777" w:rsidR="00435B5D" w:rsidRDefault="00435B5D" w:rsidP="00333FAA"/>
    <w:p w14:paraId="5CCAE193"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85167" w:rsidRPr="00385167" w14:paraId="0D5B70BB" w14:textId="77777777">
        <w:trPr>
          <w:trHeight w:val="965"/>
        </w:trPr>
        <w:tc>
          <w:tcPr>
            <w:tcW w:w="3025" w:type="pct"/>
            <w:tcBorders>
              <w:right w:val="nil"/>
            </w:tcBorders>
          </w:tcPr>
          <w:p w14:paraId="0F26377F" w14:textId="77777777" w:rsidR="00385167" w:rsidRPr="00385167" w:rsidRDefault="00385167" w:rsidP="00A53B04">
            <w:pPr>
              <w:pStyle w:val="Infotext"/>
              <w:rPr>
                <w:rFonts w:ascii="Arial Black" w:hAnsi="Arial Black"/>
              </w:rPr>
            </w:pPr>
          </w:p>
          <w:p w14:paraId="28DFA78E" w14:textId="77777777" w:rsidR="00333FAA" w:rsidRPr="00385167" w:rsidRDefault="00333FAA" w:rsidP="00A53B04">
            <w:pPr>
              <w:pStyle w:val="Infotext"/>
              <w:rPr>
                <w:rFonts w:ascii="Arial Black" w:hAnsi="Arial Black"/>
              </w:rPr>
            </w:pPr>
            <w:r w:rsidRPr="00385167">
              <w:rPr>
                <w:rFonts w:ascii="Arial Black" w:hAnsi="Arial Black"/>
              </w:rPr>
              <w:t>Ward Councillors notified:</w:t>
            </w:r>
          </w:p>
          <w:p w14:paraId="272BC708" w14:textId="77777777" w:rsidR="00333FAA" w:rsidRPr="00385167" w:rsidRDefault="00333FAA" w:rsidP="00A53B04">
            <w:pPr>
              <w:pStyle w:val="Infotext"/>
            </w:pPr>
          </w:p>
        </w:tc>
        <w:tc>
          <w:tcPr>
            <w:tcW w:w="1975" w:type="pct"/>
            <w:tcBorders>
              <w:left w:val="nil"/>
            </w:tcBorders>
          </w:tcPr>
          <w:p w14:paraId="557F4C94" w14:textId="77777777" w:rsidR="00333FAA" w:rsidRPr="00385167" w:rsidRDefault="00333FAA" w:rsidP="00A53B04">
            <w:pPr>
              <w:pStyle w:val="Infotext"/>
            </w:pPr>
          </w:p>
          <w:p w14:paraId="0FA9BF55" w14:textId="5EC38DDD" w:rsidR="00333FAA" w:rsidRPr="00385167" w:rsidRDefault="00333FAA" w:rsidP="00A53B04">
            <w:pPr>
              <w:pStyle w:val="Infotext"/>
              <w:spacing w:before="120"/>
              <w:rPr>
                <w:b/>
              </w:rPr>
            </w:pPr>
            <w:r w:rsidRPr="00385167">
              <w:rPr>
                <w:b/>
              </w:rPr>
              <w:t xml:space="preserve">NO, as it impacts on all Wards </w:t>
            </w:r>
          </w:p>
          <w:p w14:paraId="59397C1E" w14:textId="77777777" w:rsidR="00333FAA" w:rsidRPr="00385167" w:rsidRDefault="00333FAA" w:rsidP="00385167">
            <w:pPr>
              <w:pStyle w:val="Infotext"/>
              <w:rPr>
                <w:i/>
                <w:sz w:val="24"/>
                <w:szCs w:val="24"/>
              </w:rPr>
            </w:pPr>
          </w:p>
        </w:tc>
      </w:tr>
      <w:tr w:rsidR="00385167" w:rsidRPr="00385167" w14:paraId="5ED82C95" w14:textId="77777777">
        <w:trPr>
          <w:trHeight w:val="965"/>
        </w:trPr>
        <w:tc>
          <w:tcPr>
            <w:tcW w:w="3025" w:type="pct"/>
            <w:tcBorders>
              <w:right w:val="nil"/>
            </w:tcBorders>
          </w:tcPr>
          <w:p w14:paraId="080063A5" w14:textId="77777777" w:rsidR="00333FAA" w:rsidRPr="00385167" w:rsidRDefault="00333FAA" w:rsidP="00A53B04">
            <w:pPr>
              <w:pStyle w:val="Infotext"/>
              <w:rPr>
                <w:rFonts w:ascii="Arial Black" w:hAnsi="Arial Black"/>
              </w:rPr>
            </w:pPr>
          </w:p>
          <w:p w14:paraId="11FB5CC7" w14:textId="77777777" w:rsidR="00333FAA" w:rsidRPr="00385167" w:rsidRDefault="00333FAA" w:rsidP="00A53B04">
            <w:pPr>
              <w:pStyle w:val="Infotext"/>
              <w:rPr>
                <w:rFonts w:ascii="Arial Black" w:hAnsi="Arial Black"/>
              </w:rPr>
            </w:pPr>
            <w:proofErr w:type="spellStart"/>
            <w:r w:rsidRPr="00385167">
              <w:rPr>
                <w:rFonts w:ascii="Arial Black" w:hAnsi="Arial Black"/>
              </w:rPr>
              <w:t>EqIA</w:t>
            </w:r>
            <w:proofErr w:type="spellEnd"/>
            <w:r w:rsidRPr="00385167">
              <w:rPr>
                <w:rFonts w:ascii="Arial Black" w:hAnsi="Arial Black"/>
              </w:rPr>
              <w:t xml:space="preserve"> carried out:</w:t>
            </w:r>
          </w:p>
          <w:p w14:paraId="7322FBBB" w14:textId="77777777" w:rsidR="00333FAA" w:rsidRPr="00385167" w:rsidRDefault="00333FAA" w:rsidP="00A53B04">
            <w:pPr>
              <w:pStyle w:val="Infotext"/>
              <w:rPr>
                <w:rFonts w:ascii="Arial Black" w:hAnsi="Arial Black"/>
              </w:rPr>
            </w:pPr>
          </w:p>
          <w:p w14:paraId="2020330A" w14:textId="77777777" w:rsidR="00333FAA" w:rsidRPr="00385167" w:rsidRDefault="00333FAA" w:rsidP="00A53B04">
            <w:pPr>
              <w:pStyle w:val="Infotext"/>
              <w:rPr>
                <w:rFonts w:ascii="Arial Black" w:hAnsi="Arial Black"/>
              </w:rPr>
            </w:pPr>
            <w:proofErr w:type="spellStart"/>
            <w:r w:rsidRPr="00385167">
              <w:rPr>
                <w:rFonts w:ascii="Arial Black" w:hAnsi="Arial Black"/>
              </w:rPr>
              <w:t>EqIA</w:t>
            </w:r>
            <w:proofErr w:type="spellEnd"/>
            <w:r w:rsidRPr="00385167">
              <w:rPr>
                <w:rFonts w:ascii="Arial Black" w:hAnsi="Arial Black"/>
              </w:rPr>
              <w:t xml:space="preserve"> cleared by:</w:t>
            </w:r>
          </w:p>
        </w:tc>
        <w:tc>
          <w:tcPr>
            <w:tcW w:w="1975" w:type="pct"/>
            <w:tcBorders>
              <w:left w:val="nil"/>
            </w:tcBorders>
          </w:tcPr>
          <w:p w14:paraId="0E52D516" w14:textId="77777777" w:rsidR="00333FAA" w:rsidRPr="00385167" w:rsidRDefault="00333FAA" w:rsidP="00A53B04">
            <w:pPr>
              <w:pStyle w:val="Infotext"/>
              <w:rPr>
                <w:rFonts w:ascii="Arial Black" w:hAnsi="Arial Black"/>
                <w:b/>
              </w:rPr>
            </w:pPr>
          </w:p>
          <w:p w14:paraId="1AC5674A" w14:textId="0C7FE7D9" w:rsidR="00333FAA" w:rsidRPr="00385167" w:rsidRDefault="00385167" w:rsidP="00A53B04">
            <w:pPr>
              <w:pStyle w:val="Infotext"/>
              <w:rPr>
                <w:b/>
              </w:rPr>
            </w:pPr>
            <w:r w:rsidRPr="00385167">
              <w:rPr>
                <w:b/>
              </w:rPr>
              <w:t>NO</w:t>
            </w:r>
          </w:p>
          <w:p w14:paraId="4B74E73F" w14:textId="13EFA291" w:rsidR="00333FAA" w:rsidRPr="00385167" w:rsidRDefault="00385167" w:rsidP="00A53B04">
            <w:pPr>
              <w:pStyle w:val="Infotext"/>
              <w:rPr>
                <w:sz w:val="24"/>
                <w:szCs w:val="24"/>
              </w:rPr>
            </w:pPr>
            <w:r w:rsidRPr="00385167">
              <w:rPr>
                <w:sz w:val="24"/>
                <w:szCs w:val="24"/>
              </w:rPr>
              <w:t>This report contains no recommendations for changes in service.</w:t>
            </w:r>
          </w:p>
        </w:tc>
      </w:tr>
    </w:tbl>
    <w:p w14:paraId="26334206" w14:textId="77777777" w:rsidR="00333FAA" w:rsidRDefault="00333FAA" w:rsidP="00333FAA"/>
    <w:p w14:paraId="17789741" w14:textId="77777777" w:rsidR="002548D1" w:rsidRDefault="002548D1" w:rsidP="00333FAA"/>
    <w:p w14:paraId="084F5F80" w14:textId="77777777" w:rsidR="00333FAA" w:rsidRDefault="00333FAA" w:rsidP="00333FAA">
      <w:pPr>
        <w:pStyle w:val="Heading1"/>
        <w:keepNext/>
      </w:pPr>
      <w:r>
        <w:t xml:space="preserve">Section </w:t>
      </w:r>
      <w:r w:rsidR="00A20113">
        <w:t>4</w:t>
      </w:r>
      <w:r>
        <w:t xml:space="preserve"> - Contact Details and Background Papers</w:t>
      </w:r>
    </w:p>
    <w:p w14:paraId="680F5E88" w14:textId="77777777" w:rsidR="00333FAA" w:rsidRDefault="00333FAA" w:rsidP="00333FAA">
      <w:pPr>
        <w:keepNext/>
        <w:rPr>
          <w:rFonts w:cs="Arial"/>
        </w:rPr>
      </w:pPr>
    </w:p>
    <w:p w14:paraId="30AA679E" w14:textId="77777777" w:rsidR="00333FAA" w:rsidRDefault="00333FAA" w:rsidP="00333FAA">
      <w:pPr>
        <w:keepNext/>
        <w:rPr>
          <w:rFonts w:cs="Arial"/>
        </w:rPr>
      </w:pPr>
    </w:p>
    <w:p w14:paraId="1455D492" w14:textId="6D62EC07" w:rsidR="00333FAA" w:rsidRPr="00DE7528" w:rsidRDefault="00333FAA" w:rsidP="00333FAA">
      <w:pPr>
        <w:pStyle w:val="Infotext"/>
      </w:pPr>
      <w:r w:rsidRPr="004E47FC">
        <w:rPr>
          <w:b/>
        </w:rPr>
        <w:t xml:space="preserve">Contact:  </w:t>
      </w:r>
      <w:r w:rsidR="00385167" w:rsidRPr="00A01854">
        <w:t>Martin Randall, Business Intelligence Partner (</w:t>
      </w:r>
      <w:r w:rsidR="00385167">
        <w:t>Corporate</w:t>
      </w:r>
      <w:r w:rsidR="00385167" w:rsidRPr="00A01854">
        <w:t>), Strateg</w:t>
      </w:r>
      <w:r w:rsidR="00385167">
        <w:t>y</w:t>
      </w:r>
      <w:r w:rsidR="00661B86">
        <w:t xml:space="preserve"> &amp; Partnership</w:t>
      </w:r>
      <w:r w:rsidR="00385167" w:rsidRPr="00A01854">
        <w:t xml:space="preserve">, 020 8424 1815, </w:t>
      </w:r>
      <w:r w:rsidR="00385167" w:rsidRPr="00E02AD4">
        <w:t>martin.randall@harrow.gov.uk</w:t>
      </w:r>
    </w:p>
    <w:p w14:paraId="3BC8930C" w14:textId="77777777" w:rsidR="00333FAA" w:rsidRDefault="00333FAA" w:rsidP="00333FAA"/>
    <w:p w14:paraId="18BDFB12" w14:textId="582E7639" w:rsidR="00333FAA" w:rsidRDefault="00333FAA" w:rsidP="00333FAA">
      <w:pPr>
        <w:pStyle w:val="Infotext"/>
        <w:rPr>
          <w:b/>
        </w:rPr>
      </w:pPr>
      <w:r w:rsidRPr="004E47FC">
        <w:rPr>
          <w:b/>
        </w:rPr>
        <w:t xml:space="preserve">Background Papers: </w:t>
      </w:r>
      <w:r w:rsidR="00385167">
        <w:rPr>
          <w:b/>
        </w:rPr>
        <w:t xml:space="preserve"> </w:t>
      </w:r>
      <w:hyperlink r:id="rId15" w:history="1">
        <w:r w:rsidR="00385167" w:rsidRPr="00DE7528">
          <w:rPr>
            <w:rStyle w:val="Hyperlink"/>
          </w:rPr>
          <w:t>Harrow Ambition Plan 2019</w:t>
        </w:r>
      </w:hyperlink>
      <w:r w:rsidR="005808FB">
        <w:rPr>
          <w:b/>
        </w:rPr>
        <w:t xml:space="preserve"> </w:t>
      </w:r>
    </w:p>
    <w:p w14:paraId="4B558E7F" w14:textId="77777777" w:rsidR="00333FAA" w:rsidRDefault="00333FAA" w:rsidP="00333FAA">
      <w:pPr>
        <w:pStyle w:val="Infotext"/>
        <w:rPr>
          <w:b/>
        </w:rPr>
      </w:pPr>
    </w:p>
    <w:p w14:paraId="5423B353"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282617D6" w14:textId="77777777">
        <w:trPr>
          <w:trHeight w:val="965"/>
        </w:trPr>
        <w:tc>
          <w:tcPr>
            <w:tcW w:w="2210" w:type="pct"/>
            <w:tcBorders>
              <w:right w:val="nil"/>
            </w:tcBorders>
          </w:tcPr>
          <w:p w14:paraId="78A353B0" w14:textId="77777777" w:rsidR="00333FAA" w:rsidRDefault="00333FAA" w:rsidP="00A53B04">
            <w:pPr>
              <w:pStyle w:val="Infotext"/>
            </w:pPr>
          </w:p>
          <w:p w14:paraId="309DE95A" w14:textId="0998E03F" w:rsidR="00333FAA" w:rsidRPr="001B5C32" w:rsidRDefault="00333FAA" w:rsidP="001B5C32">
            <w:pPr>
              <w:pStyle w:val="Infotext"/>
              <w:rPr>
                <w:rFonts w:ascii="Arial Black" w:hAnsi="Arial Black"/>
              </w:rPr>
            </w:pPr>
            <w:r w:rsidRPr="007C0DC3">
              <w:rPr>
                <w:rFonts w:ascii="Arial Black" w:hAnsi="Arial Black"/>
              </w:rPr>
              <w:t>Call-In Waived by the Chair of Overview and Scrutiny Committee</w:t>
            </w:r>
          </w:p>
        </w:tc>
        <w:tc>
          <w:tcPr>
            <w:tcW w:w="321" w:type="pct"/>
            <w:tcBorders>
              <w:left w:val="nil"/>
              <w:right w:val="nil"/>
            </w:tcBorders>
          </w:tcPr>
          <w:p w14:paraId="350DE0C9" w14:textId="77777777" w:rsidR="00333FAA" w:rsidRDefault="00333FAA" w:rsidP="00A53B04">
            <w:pPr>
              <w:pStyle w:val="Infotext"/>
            </w:pPr>
          </w:p>
        </w:tc>
        <w:tc>
          <w:tcPr>
            <w:tcW w:w="2469" w:type="pct"/>
            <w:tcBorders>
              <w:left w:val="nil"/>
            </w:tcBorders>
          </w:tcPr>
          <w:p w14:paraId="7075569C" w14:textId="77777777" w:rsidR="00333FAA" w:rsidRDefault="00333FAA" w:rsidP="00A53B04">
            <w:pPr>
              <w:pStyle w:val="Infotext"/>
            </w:pPr>
          </w:p>
          <w:p w14:paraId="60888579" w14:textId="4210D384" w:rsidR="00333FAA" w:rsidRDefault="00333FAA" w:rsidP="00A53B04">
            <w:pPr>
              <w:pStyle w:val="Infotext"/>
            </w:pPr>
            <w:r w:rsidRPr="003D78F6">
              <w:rPr>
                <w:b/>
              </w:rPr>
              <w:t xml:space="preserve">NO </w:t>
            </w:r>
          </w:p>
          <w:p w14:paraId="707554E3" w14:textId="77777777" w:rsidR="00333FAA" w:rsidRDefault="00333FAA" w:rsidP="00A53B04">
            <w:pPr>
              <w:pStyle w:val="Infotext"/>
            </w:pPr>
          </w:p>
          <w:p w14:paraId="604671D0" w14:textId="77777777" w:rsidR="00333FAA" w:rsidRDefault="00333FAA" w:rsidP="00A53B04">
            <w:pPr>
              <w:pStyle w:val="Infotext"/>
            </w:pPr>
          </w:p>
          <w:p w14:paraId="0989213E" w14:textId="77777777" w:rsidR="00333FAA" w:rsidRDefault="00333FAA" w:rsidP="00A53B04">
            <w:pPr>
              <w:pStyle w:val="Infotext"/>
            </w:pPr>
          </w:p>
          <w:p w14:paraId="0D58F11A" w14:textId="1A8F5742" w:rsidR="0017653E" w:rsidRPr="0017653E" w:rsidRDefault="0017653E" w:rsidP="0017653E">
            <w:pPr>
              <w:pStyle w:val="Infotext"/>
              <w:ind w:left="173"/>
              <w:rPr>
                <w:rFonts w:cs="Arial"/>
                <w:i/>
                <w:sz w:val="24"/>
                <w:szCs w:val="24"/>
                <w:lang w:eastAsia="en-GB"/>
              </w:rPr>
            </w:pPr>
          </w:p>
        </w:tc>
      </w:tr>
    </w:tbl>
    <w:p w14:paraId="586D38B8" w14:textId="77777777" w:rsidR="000D4E36" w:rsidRPr="00DE71D3" w:rsidRDefault="000D4E36" w:rsidP="001614E0"/>
    <w:sectPr w:rsidR="000D4E36" w:rsidRPr="00DE71D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203A" w14:textId="77777777" w:rsidR="007F335A" w:rsidRDefault="007F335A">
      <w:r>
        <w:separator/>
      </w:r>
    </w:p>
  </w:endnote>
  <w:endnote w:type="continuationSeparator" w:id="0">
    <w:p w14:paraId="37FCCF89"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57317" w14:textId="77777777" w:rsidR="007F335A" w:rsidRDefault="007F335A">
      <w:r>
        <w:separator/>
      </w:r>
    </w:p>
  </w:footnote>
  <w:footnote w:type="continuationSeparator" w:id="0">
    <w:p w14:paraId="13D53E15" w14:textId="77777777" w:rsidR="007F335A" w:rsidRDefault="007F335A">
      <w:r>
        <w:continuationSeparator/>
      </w:r>
    </w:p>
  </w:footnote>
  <w:footnote w:id="1">
    <w:p w14:paraId="3771AFEE" w14:textId="494B6569" w:rsidR="003C2B13" w:rsidRPr="00406FC6" w:rsidRDefault="003C2B13">
      <w:pPr>
        <w:pStyle w:val="FootnoteText"/>
        <w:rPr>
          <w:rFonts w:ascii="Arial" w:hAnsi="Arial" w:cs="Arial"/>
        </w:rPr>
      </w:pPr>
      <w:r w:rsidRPr="00406FC6">
        <w:rPr>
          <w:rStyle w:val="FootnoteReference"/>
          <w:rFonts w:ascii="Arial" w:hAnsi="Arial" w:cs="Arial"/>
        </w:rPr>
        <w:footnoteRef/>
      </w:r>
      <w:r w:rsidRPr="00406FC6">
        <w:rPr>
          <w:rFonts w:ascii="Arial" w:hAnsi="Arial" w:cs="Arial"/>
        </w:rPr>
        <w:t xml:space="preserve"> Red, Amber, Green – a traffic-light representation of the performance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24C4B"/>
    <w:multiLevelType w:val="hybridMultilevel"/>
    <w:tmpl w:val="346E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CD22A1"/>
    <w:multiLevelType w:val="hybridMultilevel"/>
    <w:tmpl w:val="818E9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1A65E4"/>
    <w:multiLevelType w:val="hybridMultilevel"/>
    <w:tmpl w:val="3B6E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8E2EB1"/>
    <w:multiLevelType w:val="hybridMultilevel"/>
    <w:tmpl w:val="E048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2"/>
  </w:num>
  <w:num w:numId="3">
    <w:abstractNumId w:val="17"/>
  </w:num>
  <w:num w:numId="4">
    <w:abstractNumId w:val="45"/>
  </w:num>
  <w:num w:numId="5">
    <w:abstractNumId w:val="41"/>
  </w:num>
  <w:num w:numId="6">
    <w:abstractNumId w:val="19"/>
  </w:num>
  <w:num w:numId="7">
    <w:abstractNumId w:val="1"/>
  </w:num>
  <w:num w:numId="8">
    <w:abstractNumId w:val="25"/>
  </w:num>
  <w:num w:numId="9">
    <w:abstractNumId w:val="26"/>
  </w:num>
  <w:num w:numId="10">
    <w:abstractNumId w:val="44"/>
  </w:num>
  <w:num w:numId="11">
    <w:abstractNumId w:val="14"/>
  </w:num>
  <w:num w:numId="12">
    <w:abstractNumId w:val="23"/>
  </w:num>
  <w:num w:numId="13">
    <w:abstractNumId w:val="24"/>
  </w:num>
  <w:num w:numId="14">
    <w:abstractNumId w:val="15"/>
  </w:num>
  <w:num w:numId="15">
    <w:abstractNumId w:val="33"/>
  </w:num>
  <w:num w:numId="16">
    <w:abstractNumId w:val="18"/>
  </w:num>
  <w:num w:numId="17">
    <w:abstractNumId w:val="36"/>
  </w:num>
  <w:num w:numId="18">
    <w:abstractNumId w:val="21"/>
  </w:num>
  <w:num w:numId="19">
    <w:abstractNumId w:val="43"/>
  </w:num>
  <w:num w:numId="20">
    <w:abstractNumId w:val="6"/>
  </w:num>
  <w:num w:numId="21">
    <w:abstractNumId w:val="0"/>
  </w:num>
  <w:num w:numId="22">
    <w:abstractNumId w:val="7"/>
  </w:num>
  <w:num w:numId="23">
    <w:abstractNumId w:val="29"/>
  </w:num>
  <w:num w:numId="24">
    <w:abstractNumId w:val="9"/>
  </w:num>
  <w:num w:numId="25">
    <w:abstractNumId w:val="27"/>
  </w:num>
  <w:num w:numId="26">
    <w:abstractNumId w:val="30"/>
  </w:num>
  <w:num w:numId="27">
    <w:abstractNumId w:val="31"/>
  </w:num>
  <w:num w:numId="28">
    <w:abstractNumId w:val="13"/>
  </w:num>
  <w:num w:numId="29">
    <w:abstractNumId w:val="40"/>
  </w:num>
  <w:num w:numId="30">
    <w:abstractNumId w:val="12"/>
  </w:num>
  <w:num w:numId="31">
    <w:abstractNumId w:val="32"/>
  </w:num>
  <w:num w:numId="32">
    <w:abstractNumId w:val="35"/>
  </w:num>
  <w:num w:numId="33">
    <w:abstractNumId w:val="37"/>
  </w:num>
  <w:num w:numId="34">
    <w:abstractNumId w:val="11"/>
  </w:num>
  <w:num w:numId="35">
    <w:abstractNumId w:val="28"/>
  </w:num>
  <w:num w:numId="36">
    <w:abstractNumId w:val="4"/>
  </w:num>
  <w:num w:numId="37">
    <w:abstractNumId w:val="22"/>
  </w:num>
  <w:num w:numId="38">
    <w:abstractNumId w:val="46"/>
  </w:num>
  <w:num w:numId="39">
    <w:abstractNumId w:val="8"/>
  </w:num>
  <w:num w:numId="40">
    <w:abstractNumId w:val="5"/>
  </w:num>
  <w:num w:numId="41">
    <w:abstractNumId w:val="39"/>
  </w:num>
  <w:num w:numId="42">
    <w:abstractNumId w:val="47"/>
  </w:num>
  <w:num w:numId="43">
    <w:abstractNumId w:val="34"/>
  </w:num>
  <w:num w:numId="44">
    <w:abstractNumId w:val="3"/>
  </w:num>
  <w:num w:numId="45">
    <w:abstractNumId w:val="16"/>
  </w:num>
  <w:num w:numId="46">
    <w:abstractNumId w:val="48"/>
  </w:num>
  <w:num w:numId="47">
    <w:abstractNumId w:val="10"/>
  </w:num>
  <w:num w:numId="48">
    <w:abstractNumId w:val="3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65B5"/>
    <w:rsid w:val="00007220"/>
    <w:rsid w:val="00022CF7"/>
    <w:rsid w:val="0004029A"/>
    <w:rsid w:val="0006034E"/>
    <w:rsid w:val="00063783"/>
    <w:rsid w:val="00071B6E"/>
    <w:rsid w:val="00073765"/>
    <w:rsid w:val="000929A6"/>
    <w:rsid w:val="000B5015"/>
    <w:rsid w:val="000B788F"/>
    <w:rsid w:val="000D4E36"/>
    <w:rsid w:val="000E2CE0"/>
    <w:rsid w:val="000E62FE"/>
    <w:rsid w:val="001161E4"/>
    <w:rsid w:val="00125A26"/>
    <w:rsid w:val="001317FE"/>
    <w:rsid w:val="0015376F"/>
    <w:rsid w:val="001614E0"/>
    <w:rsid w:val="00171BD8"/>
    <w:rsid w:val="0017653E"/>
    <w:rsid w:val="00182B01"/>
    <w:rsid w:val="001840D2"/>
    <w:rsid w:val="001966D7"/>
    <w:rsid w:val="001B5C32"/>
    <w:rsid w:val="001C4D2E"/>
    <w:rsid w:val="001C7E35"/>
    <w:rsid w:val="001E0909"/>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2F7F41"/>
    <w:rsid w:val="003042F4"/>
    <w:rsid w:val="00307F76"/>
    <w:rsid w:val="00321FBB"/>
    <w:rsid w:val="003266EF"/>
    <w:rsid w:val="00333FAA"/>
    <w:rsid w:val="003355D7"/>
    <w:rsid w:val="0036201C"/>
    <w:rsid w:val="00376768"/>
    <w:rsid w:val="00385167"/>
    <w:rsid w:val="0039768A"/>
    <w:rsid w:val="003B0535"/>
    <w:rsid w:val="003C2B13"/>
    <w:rsid w:val="003E07E6"/>
    <w:rsid w:val="003F3AFD"/>
    <w:rsid w:val="00406FC6"/>
    <w:rsid w:val="004076C8"/>
    <w:rsid w:val="004207E3"/>
    <w:rsid w:val="00421A4C"/>
    <w:rsid w:val="004238C2"/>
    <w:rsid w:val="00435B5D"/>
    <w:rsid w:val="004363F7"/>
    <w:rsid w:val="00440248"/>
    <w:rsid w:val="0044525C"/>
    <w:rsid w:val="004553F1"/>
    <w:rsid w:val="00455F65"/>
    <w:rsid w:val="00471C1F"/>
    <w:rsid w:val="004809FA"/>
    <w:rsid w:val="004954B8"/>
    <w:rsid w:val="004A59C9"/>
    <w:rsid w:val="004C4A75"/>
    <w:rsid w:val="004D2DA0"/>
    <w:rsid w:val="004E14A4"/>
    <w:rsid w:val="004F54BD"/>
    <w:rsid w:val="004F56C5"/>
    <w:rsid w:val="00512537"/>
    <w:rsid w:val="005354D0"/>
    <w:rsid w:val="0054011E"/>
    <w:rsid w:val="0054172C"/>
    <w:rsid w:val="0054590F"/>
    <w:rsid w:val="005459EC"/>
    <w:rsid w:val="00556A59"/>
    <w:rsid w:val="005718B5"/>
    <w:rsid w:val="005808FB"/>
    <w:rsid w:val="00582605"/>
    <w:rsid w:val="00591016"/>
    <w:rsid w:val="005B3F67"/>
    <w:rsid w:val="005D548F"/>
    <w:rsid w:val="005D6EF5"/>
    <w:rsid w:val="005E3A10"/>
    <w:rsid w:val="005E7509"/>
    <w:rsid w:val="00645B8B"/>
    <w:rsid w:val="00655044"/>
    <w:rsid w:val="00657B57"/>
    <w:rsid w:val="00661B86"/>
    <w:rsid w:val="00666922"/>
    <w:rsid w:val="00670F17"/>
    <w:rsid w:val="006710C7"/>
    <w:rsid w:val="00696A83"/>
    <w:rsid w:val="006C580A"/>
    <w:rsid w:val="006D1E69"/>
    <w:rsid w:val="006E0261"/>
    <w:rsid w:val="006F057C"/>
    <w:rsid w:val="006F22DA"/>
    <w:rsid w:val="006F2EB3"/>
    <w:rsid w:val="007116B1"/>
    <w:rsid w:val="00714BEE"/>
    <w:rsid w:val="00721215"/>
    <w:rsid w:val="007400CF"/>
    <w:rsid w:val="00760264"/>
    <w:rsid w:val="00785629"/>
    <w:rsid w:val="007B23FC"/>
    <w:rsid w:val="007C747B"/>
    <w:rsid w:val="007D0C1D"/>
    <w:rsid w:val="007D4DBF"/>
    <w:rsid w:val="007E4732"/>
    <w:rsid w:val="007E4BA4"/>
    <w:rsid w:val="007F004E"/>
    <w:rsid w:val="007F335A"/>
    <w:rsid w:val="00801BDD"/>
    <w:rsid w:val="00803104"/>
    <w:rsid w:val="00812901"/>
    <w:rsid w:val="00826B9A"/>
    <w:rsid w:val="0085266D"/>
    <w:rsid w:val="008642B9"/>
    <w:rsid w:val="008A5AA0"/>
    <w:rsid w:val="008D5AFD"/>
    <w:rsid w:val="008E224D"/>
    <w:rsid w:val="0092530B"/>
    <w:rsid w:val="00935A48"/>
    <w:rsid w:val="0094208C"/>
    <w:rsid w:val="00942F17"/>
    <w:rsid w:val="00952CEF"/>
    <w:rsid w:val="00955421"/>
    <w:rsid w:val="00990E9C"/>
    <w:rsid w:val="00994542"/>
    <w:rsid w:val="00994908"/>
    <w:rsid w:val="009B160B"/>
    <w:rsid w:val="009C237B"/>
    <w:rsid w:val="009C5F6F"/>
    <w:rsid w:val="009E1E62"/>
    <w:rsid w:val="009E5A93"/>
    <w:rsid w:val="009F3C6F"/>
    <w:rsid w:val="00A20113"/>
    <w:rsid w:val="00A20D78"/>
    <w:rsid w:val="00A2215F"/>
    <w:rsid w:val="00A22839"/>
    <w:rsid w:val="00A23E19"/>
    <w:rsid w:val="00A322BE"/>
    <w:rsid w:val="00A33185"/>
    <w:rsid w:val="00A336B9"/>
    <w:rsid w:val="00A53B04"/>
    <w:rsid w:val="00A661F4"/>
    <w:rsid w:val="00A7271A"/>
    <w:rsid w:val="00A80DBC"/>
    <w:rsid w:val="00A81E19"/>
    <w:rsid w:val="00AB46AE"/>
    <w:rsid w:val="00AB795F"/>
    <w:rsid w:val="00AC6312"/>
    <w:rsid w:val="00AD6D80"/>
    <w:rsid w:val="00AD7181"/>
    <w:rsid w:val="00B1160D"/>
    <w:rsid w:val="00B444E6"/>
    <w:rsid w:val="00B52011"/>
    <w:rsid w:val="00B53EFF"/>
    <w:rsid w:val="00B54AFA"/>
    <w:rsid w:val="00B671A4"/>
    <w:rsid w:val="00B804E8"/>
    <w:rsid w:val="00B8259B"/>
    <w:rsid w:val="00BC206C"/>
    <w:rsid w:val="00BC431A"/>
    <w:rsid w:val="00BE311F"/>
    <w:rsid w:val="00BE48CC"/>
    <w:rsid w:val="00C01A35"/>
    <w:rsid w:val="00C03772"/>
    <w:rsid w:val="00C04EDA"/>
    <w:rsid w:val="00C119A2"/>
    <w:rsid w:val="00C57267"/>
    <w:rsid w:val="00C62B63"/>
    <w:rsid w:val="00C72B5B"/>
    <w:rsid w:val="00CD7D5D"/>
    <w:rsid w:val="00CF0FC4"/>
    <w:rsid w:val="00CF6932"/>
    <w:rsid w:val="00D01FE3"/>
    <w:rsid w:val="00D04F65"/>
    <w:rsid w:val="00D06CA3"/>
    <w:rsid w:val="00D07F46"/>
    <w:rsid w:val="00D170E5"/>
    <w:rsid w:val="00D36E84"/>
    <w:rsid w:val="00D37F2F"/>
    <w:rsid w:val="00D415B9"/>
    <w:rsid w:val="00D528E8"/>
    <w:rsid w:val="00D771D0"/>
    <w:rsid w:val="00D835CF"/>
    <w:rsid w:val="00DA26FB"/>
    <w:rsid w:val="00DB6C3D"/>
    <w:rsid w:val="00DC5ACF"/>
    <w:rsid w:val="00DC6AC5"/>
    <w:rsid w:val="00DD7468"/>
    <w:rsid w:val="00DE25E9"/>
    <w:rsid w:val="00DE71D3"/>
    <w:rsid w:val="00DE72CF"/>
    <w:rsid w:val="00DE7528"/>
    <w:rsid w:val="00DF08A0"/>
    <w:rsid w:val="00E04002"/>
    <w:rsid w:val="00E13A81"/>
    <w:rsid w:val="00E14E3F"/>
    <w:rsid w:val="00E3420A"/>
    <w:rsid w:val="00E42860"/>
    <w:rsid w:val="00E70760"/>
    <w:rsid w:val="00E75091"/>
    <w:rsid w:val="00E9253C"/>
    <w:rsid w:val="00E9650A"/>
    <w:rsid w:val="00EB45B5"/>
    <w:rsid w:val="00EB5E57"/>
    <w:rsid w:val="00EB61DB"/>
    <w:rsid w:val="00ED4AFD"/>
    <w:rsid w:val="00EE4FBE"/>
    <w:rsid w:val="00F5649A"/>
    <w:rsid w:val="00F618FE"/>
    <w:rsid w:val="00F67DC5"/>
    <w:rsid w:val="00F710E6"/>
    <w:rsid w:val="00F74FAB"/>
    <w:rsid w:val="00F82342"/>
    <w:rsid w:val="00F877DB"/>
    <w:rsid w:val="00F91AE4"/>
    <w:rsid w:val="00F93C8B"/>
    <w:rsid w:val="00F959DD"/>
    <w:rsid w:val="00F960D5"/>
    <w:rsid w:val="00FB1231"/>
    <w:rsid w:val="00FC1C5C"/>
    <w:rsid w:val="00FC65D0"/>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43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4Char">
    <w:name w:val="Heading 4 Char"/>
    <w:link w:val="Heading4"/>
    <w:rsid w:val="00D04F65"/>
    <w:rPr>
      <w:rFonts w:ascii="Arial" w:hAnsi="Arial" w:cs="Arial"/>
      <w:b/>
      <w:sz w:val="24"/>
      <w:lang w:eastAsia="en-US"/>
    </w:rPr>
  </w:style>
  <w:style w:type="character" w:customStyle="1" w:styleId="Heading2Char">
    <w:name w:val="Heading 2 Char"/>
    <w:link w:val="Heading2"/>
    <w:rsid w:val="00D04F65"/>
    <w:rPr>
      <w:rFonts w:ascii="Arial" w:hAnsi="Arial" w:cs="Arial"/>
      <w:b/>
      <w:bCs/>
      <w:sz w:val="28"/>
      <w:szCs w:val="32"/>
      <w:lang w:eastAsia="en-US"/>
    </w:rPr>
  </w:style>
  <w:style w:type="paragraph" w:styleId="BalloonText">
    <w:name w:val="Balloon Text"/>
    <w:basedOn w:val="Normal"/>
    <w:link w:val="BalloonTextChar"/>
    <w:rsid w:val="00A80DBC"/>
    <w:rPr>
      <w:rFonts w:ascii="Tahoma" w:hAnsi="Tahoma" w:cs="Tahoma"/>
      <w:sz w:val="16"/>
      <w:szCs w:val="16"/>
    </w:rPr>
  </w:style>
  <w:style w:type="character" w:customStyle="1" w:styleId="BalloonTextChar">
    <w:name w:val="Balloon Text Char"/>
    <w:basedOn w:val="DefaultParagraphFont"/>
    <w:link w:val="BalloonText"/>
    <w:rsid w:val="00A80DBC"/>
    <w:rPr>
      <w:rFonts w:ascii="Tahoma" w:hAnsi="Tahoma" w:cs="Tahoma"/>
      <w:sz w:val="16"/>
      <w:szCs w:val="16"/>
      <w:lang w:eastAsia="en-US"/>
    </w:rPr>
  </w:style>
  <w:style w:type="character" w:styleId="CommentReference">
    <w:name w:val="annotation reference"/>
    <w:basedOn w:val="DefaultParagraphFont"/>
    <w:rsid w:val="007C747B"/>
    <w:rPr>
      <w:sz w:val="16"/>
      <w:szCs w:val="16"/>
    </w:rPr>
  </w:style>
  <w:style w:type="paragraph" w:styleId="CommentText">
    <w:name w:val="annotation text"/>
    <w:basedOn w:val="Normal"/>
    <w:link w:val="CommentTextChar"/>
    <w:rsid w:val="007C747B"/>
    <w:rPr>
      <w:sz w:val="20"/>
    </w:rPr>
  </w:style>
  <w:style w:type="character" w:customStyle="1" w:styleId="CommentTextChar">
    <w:name w:val="Comment Text Char"/>
    <w:basedOn w:val="DefaultParagraphFont"/>
    <w:link w:val="CommentText"/>
    <w:rsid w:val="007C747B"/>
    <w:rPr>
      <w:rFonts w:ascii="Arial" w:hAnsi="Arial"/>
      <w:lang w:eastAsia="en-US"/>
    </w:rPr>
  </w:style>
  <w:style w:type="paragraph" w:styleId="CommentSubject">
    <w:name w:val="annotation subject"/>
    <w:basedOn w:val="CommentText"/>
    <w:next w:val="CommentText"/>
    <w:link w:val="CommentSubjectChar"/>
    <w:rsid w:val="007C747B"/>
    <w:rPr>
      <w:b/>
      <w:bCs/>
    </w:rPr>
  </w:style>
  <w:style w:type="character" w:customStyle="1" w:styleId="CommentSubjectChar">
    <w:name w:val="Comment Subject Char"/>
    <w:basedOn w:val="CommentTextChar"/>
    <w:link w:val="CommentSubject"/>
    <w:rsid w:val="007C747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4Char">
    <w:name w:val="Heading 4 Char"/>
    <w:link w:val="Heading4"/>
    <w:rsid w:val="00D04F65"/>
    <w:rPr>
      <w:rFonts w:ascii="Arial" w:hAnsi="Arial" w:cs="Arial"/>
      <w:b/>
      <w:sz w:val="24"/>
      <w:lang w:eastAsia="en-US"/>
    </w:rPr>
  </w:style>
  <w:style w:type="character" w:customStyle="1" w:styleId="Heading2Char">
    <w:name w:val="Heading 2 Char"/>
    <w:link w:val="Heading2"/>
    <w:rsid w:val="00D04F65"/>
    <w:rPr>
      <w:rFonts w:ascii="Arial" w:hAnsi="Arial" w:cs="Arial"/>
      <w:b/>
      <w:bCs/>
      <w:sz w:val="28"/>
      <w:szCs w:val="32"/>
      <w:lang w:eastAsia="en-US"/>
    </w:rPr>
  </w:style>
  <w:style w:type="paragraph" w:styleId="BalloonText">
    <w:name w:val="Balloon Text"/>
    <w:basedOn w:val="Normal"/>
    <w:link w:val="BalloonTextChar"/>
    <w:rsid w:val="00A80DBC"/>
    <w:rPr>
      <w:rFonts w:ascii="Tahoma" w:hAnsi="Tahoma" w:cs="Tahoma"/>
      <w:sz w:val="16"/>
      <w:szCs w:val="16"/>
    </w:rPr>
  </w:style>
  <w:style w:type="character" w:customStyle="1" w:styleId="BalloonTextChar">
    <w:name w:val="Balloon Text Char"/>
    <w:basedOn w:val="DefaultParagraphFont"/>
    <w:link w:val="BalloonText"/>
    <w:rsid w:val="00A80DBC"/>
    <w:rPr>
      <w:rFonts w:ascii="Tahoma" w:hAnsi="Tahoma" w:cs="Tahoma"/>
      <w:sz w:val="16"/>
      <w:szCs w:val="16"/>
      <w:lang w:eastAsia="en-US"/>
    </w:rPr>
  </w:style>
  <w:style w:type="character" w:styleId="CommentReference">
    <w:name w:val="annotation reference"/>
    <w:basedOn w:val="DefaultParagraphFont"/>
    <w:rsid w:val="007C747B"/>
    <w:rPr>
      <w:sz w:val="16"/>
      <w:szCs w:val="16"/>
    </w:rPr>
  </w:style>
  <w:style w:type="paragraph" w:styleId="CommentText">
    <w:name w:val="annotation text"/>
    <w:basedOn w:val="Normal"/>
    <w:link w:val="CommentTextChar"/>
    <w:rsid w:val="007C747B"/>
    <w:rPr>
      <w:sz w:val="20"/>
    </w:rPr>
  </w:style>
  <w:style w:type="character" w:customStyle="1" w:styleId="CommentTextChar">
    <w:name w:val="Comment Text Char"/>
    <w:basedOn w:val="DefaultParagraphFont"/>
    <w:link w:val="CommentText"/>
    <w:rsid w:val="007C747B"/>
    <w:rPr>
      <w:rFonts w:ascii="Arial" w:hAnsi="Arial"/>
      <w:lang w:eastAsia="en-US"/>
    </w:rPr>
  </w:style>
  <w:style w:type="paragraph" w:styleId="CommentSubject">
    <w:name w:val="annotation subject"/>
    <w:basedOn w:val="CommentText"/>
    <w:next w:val="CommentText"/>
    <w:link w:val="CommentSubjectChar"/>
    <w:rsid w:val="007C747B"/>
    <w:rPr>
      <w:b/>
      <w:bCs/>
    </w:rPr>
  </w:style>
  <w:style w:type="character" w:customStyle="1" w:styleId="CommentSubjectChar">
    <w:name w:val="Comment Subject Char"/>
    <w:basedOn w:val="CommentTextChar"/>
    <w:link w:val="CommentSubject"/>
    <w:rsid w:val="007C747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83360966">
      <w:bodyDiv w:val="1"/>
      <w:marLeft w:val="0"/>
      <w:marRight w:val="0"/>
      <w:marTop w:val="0"/>
      <w:marBottom w:val="0"/>
      <w:divBdr>
        <w:top w:val="none" w:sz="0" w:space="0" w:color="auto"/>
        <w:left w:val="none" w:sz="0" w:space="0" w:color="auto"/>
        <w:bottom w:val="none" w:sz="0" w:space="0" w:color="auto"/>
        <w:right w:val="none" w:sz="0" w:space="0" w:color="auto"/>
      </w:divBdr>
    </w:div>
    <w:div w:id="19331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arrow.gov.uk/info/200149/council_documents_meetings_and_reports/1789/harrows_ambition_plan/2"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Calendar_x0020_Date xmlns="e48e9339-ef40-4192-ab59-a15ba5582753">2020-01-09T00:00:00+00:00</Calendar_x0020_Date>
    <Meeting_x0020_Type xmlns="db1a1c10-2bdd-4e29-a29a-7d3ad5253a84">Cabinet</Meeting_x0020_Type>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FE1657BA39E30748865379F79DA1C039" ma:contentTypeVersion="6" ma:contentTypeDescription="A document associated with a meeting or standing group." ma:contentTypeScope="" ma:versionID="d772c92aed3ae4fc527285f617735111">
  <xsd:schema xmlns:xsd="http://www.w3.org/2001/XMLSchema" xmlns:xs="http://www.w3.org/2001/XMLSchema" xmlns:p="http://schemas.microsoft.com/office/2006/metadata/properties" xmlns:ns2="e48e9339-ef40-4192-ab59-a15ba5582753" xmlns:ns3="db1a1c10-2bdd-4e29-a29a-7d3ad5253a84" targetNamespace="http://schemas.microsoft.com/office/2006/metadata/properties" ma:root="true" ma:fieldsID="003323d235c36f8be33c68b2d8f909b0" ns2:_="" ns3:_="">
    <xsd:import namespace="e48e9339-ef40-4192-ab59-a15ba5582753"/>
    <xsd:import namespace="db1a1c10-2bdd-4e29-a29a-7d3ad5253a8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eeting_x0020_Type"/>
                <xsd:element ref="ns2:Calendar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dfe3e7d-d3d7-4a16-9b3c-874f6c7dfbb2}" ma:internalName="TaxCatchAll" ma:showField="CatchAllData" ma:web="db1a1c10-2bdd-4e29-a29a-7d3ad5253a8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dfe3e7d-d3d7-4a16-9b3c-874f6c7dfbb2}" ma:internalName="TaxCatchAllLabel" ma:readOnly="true" ma:showField="CatchAllDataLabel" ma:web="db1a1c10-2bdd-4e29-a29a-7d3ad5253a84">
      <xsd:complexType>
        <xsd:complexContent>
          <xsd:extension base="dms:MultiChoiceLookup">
            <xsd:sequence>
              <xsd:element name="Value" type="dms:Lookup" maxOccurs="unbounded" minOccurs="0" nillable="true"/>
            </xsd:sequence>
          </xsd:extension>
        </xsd:complexContent>
      </xsd:complexType>
    </xsd:element>
    <xsd:element name="Calendar_x0020_Date" ma:index="15" ma:displayName="Calendar Date" ma:format="DateOnly" ma:indexed="true" ma:internalName="Calenda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1a1c10-2bdd-4e29-a29a-7d3ad5253a84" elementFormDefault="qualified">
    <xsd:import namespace="http://schemas.microsoft.com/office/2006/documentManagement/types"/>
    <xsd:import namespace="http://schemas.microsoft.com/office/infopath/2007/PartnerControls"/>
    <xsd:element name="Meeting_x0020_Type" ma:index="14" ma:displayName="Meeting Type" ma:format="Dropdown" ma:internalName="Meeting_x0020_Type">
      <xsd:simpleType>
        <xsd:restriction base="dms:Choice">
          <xsd:enumeration value="Cabinet"/>
          <xsd:enumeration value="Cabinet Briefing"/>
          <xsd:enumeration value="CSB"/>
          <xsd:enumeration value="Cabinet/CSB (joint)"/>
          <xsd:enumeration value="Improvement Board"/>
          <xsd:enumeration value="Performance briefing"/>
          <xsd:enumeration value="P&amp;F"/>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1bda97-64e7-4000-91fd-dcaad77bf85d" ContentTypeId="0x0101000226E4B75CFA47B488D2CEFE4DCFDD6404"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purl.org/dc/terms/"/>
    <ds:schemaRef ds:uri="db1a1c10-2bdd-4e29-a29a-7d3ad5253a84"/>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e48e9339-ef40-4192-ab59-a15ba5582753"/>
    <ds:schemaRef ds:uri="http://www.w3.org/XML/1998/namespace"/>
  </ds:schemaRefs>
</ds:datastoreItem>
</file>

<file path=customXml/itemProps4.xml><?xml version="1.0" encoding="utf-8"?>
<ds:datastoreItem xmlns:ds="http://schemas.openxmlformats.org/officeDocument/2006/customXml" ds:itemID="{FC300A45-0984-45B2-BAFC-CE594D45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db1a1c10-2bdd-4e29-a29a-7d3ad525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3E4B4B-A775-4114-8132-3CB7A4907D91}">
  <ds:schemaRefs>
    <ds:schemaRef ds:uri="Microsoft.SharePoint.Taxonomy.ContentTypeSync"/>
  </ds:schemaRefs>
</ds:datastoreItem>
</file>

<file path=customXml/itemProps6.xml><?xml version="1.0" encoding="utf-8"?>
<ds:datastoreItem xmlns:ds="http://schemas.openxmlformats.org/officeDocument/2006/customXml" ds:itemID="{F384A749-E2CE-4E6C-810F-E76BAEF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5267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DGhelani;MRandall</dc:creator>
  <cp:lastModifiedBy>Alison Atherton</cp:lastModifiedBy>
  <cp:revision>2</cp:revision>
  <cp:lastPrinted>2019-08-19T11:13:00Z</cp:lastPrinted>
  <dcterms:created xsi:type="dcterms:W3CDTF">2019-12-20T10:36:00Z</dcterms:created>
  <dcterms:modified xsi:type="dcterms:W3CDTF">2019-12-20T10:36:00Z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0x0101000226E4B75CFA47B488D2CEFE4DCFDD640400FE1657BA39E30748865379F79DA1C039</vt:lpwstr>
  </property>
  <property fmtid="{D5CDD505-2E9C-101B-9397-08002B2CF9AE}" pid="3" name="TaxKeyword">
    <vt:lpwstr/>
  </property>
</Properties>
</file>